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DAE" w:rsidRPr="00972D7E" w:rsidRDefault="00533DAE" w:rsidP="00F00C4E">
      <w:pPr>
        <w:tabs>
          <w:tab w:val="right" w:pos="10080"/>
        </w:tabs>
        <w:spacing w:after="0"/>
        <w:ind w:left="-90"/>
        <w:rPr>
          <w:rFonts w:asciiTheme="minorHAnsi" w:hAnsiTheme="minorHAnsi" w:cs="Arial"/>
          <w:b/>
          <w:color w:val="003399"/>
          <w:sz w:val="28"/>
        </w:rPr>
      </w:pPr>
      <w:r>
        <w:rPr>
          <w:rFonts w:asciiTheme="minorHAnsi" w:hAnsiTheme="minorHAnsi"/>
          <w:noProof/>
          <w:sz w:val="56"/>
          <w:szCs w:val="72"/>
          <w:lang w:eastAsia="fr-CA"/>
        </w:rPr>
        <w:drawing>
          <wp:inline distT="0" distB="0" distL="0" distR="0">
            <wp:extent cx="2121722" cy="659328"/>
            <wp:effectExtent l="19050" t="0" r="0" b="0"/>
            <wp:docPr id="1" name="Picture 2" descr="N:\NATIONAL\Marketing\Logos and Font 2015\ADRIC Logos\Original\Logo Original\ADRCanada_Logo_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NATIONAL\Marketing\Logos and Font 2015\ADRIC Logos\Original\Logo Original\ADRCanada_Logo_Large.png"/>
                    <pic:cNvPicPr>
                      <a:picLocks noChangeAspect="1" noChangeArrowheads="1"/>
                    </pic:cNvPicPr>
                  </pic:nvPicPr>
                  <pic:blipFill>
                    <a:blip r:embed="rId8" cstate="print"/>
                    <a:srcRect/>
                    <a:stretch>
                      <a:fillRect/>
                    </a:stretch>
                  </pic:blipFill>
                  <pic:spPr bwMode="auto">
                    <a:xfrm>
                      <a:off x="0" y="0"/>
                      <a:ext cx="2123482" cy="659875"/>
                    </a:xfrm>
                    <a:prstGeom prst="rect">
                      <a:avLst/>
                    </a:prstGeom>
                    <a:noFill/>
                    <a:ln w="9525">
                      <a:noFill/>
                      <a:miter lim="800000"/>
                      <a:headEnd/>
                      <a:tailEnd/>
                    </a:ln>
                  </pic:spPr>
                </pic:pic>
              </a:graphicData>
            </a:graphic>
          </wp:inline>
        </w:drawing>
      </w:r>
      <w:r>
        <w:rPr>
          <w:rFonts w:asciiTheme="minorHAnsi" w:hAnsiTheme="minorHAnsi"/>
        </w:rPr>
        <w:tab/>
      </w:r>
      <w:r>
        <w:rPr>
          <w:rFonts w:asciiTheme="minorHAnsi" w:hAnsiTheme="minorHAnsi"/>
          <w:b/>
          <w:color w:val="003399"/>
          <w:sz w:val="28"/>
        </w:rPr>
        <w:t>www.adric.ca/fr/</w:t>
      </w:r>
    </w:p>
    <w:p w:rsidR="00972D7E" w:rsidRDefault="00C07B53" w:rsidP="00972D7E">
      <w:pPr>
        <w:spacing w:after="0" w:line="240" w:lineRule="auto"/>
        <w:jc w:val="center"/>
        <w:rPr>
          <w:rFonts w:asciiTheme="minorHAnsi" w:eastAsia="Arial Unicode MS" w:hAnsiTheme="minorHAnsi" w:cs="Arial"/>
          <w:b/>
          <w:color w:val="FFFFFF" w:themeColor="background1"/>
          <w:sz w:val="52"/>
          <w:szCs w:val="72"/>
        </w:rPr>
      </w:pPr>
      <w:r>
        <w:rPr>
          <w:b/>
          <w:sz w:val="24"/>
          <w:szCs w:val="24"/>
        </w:rPr>
        <w:pict>
          <v:rect id="_x0000_s1027" style="position:absolute;left:0;text-align:left;margin-left:-71.35pt;margin-top:9.7pt;width:611.6pt;height:677.15pt;z-index:-251658752" fillcolor="#2e2b4d">
            <v:fill color2="#2067b1" rotate="t" angle="-135" focus="100%" type="gradient"/>
          </v:rect>
        </w:pict>
      </w:r>
    </w:p>
    <w:p w:rsidR="00972D7E" w:rsidRDefault="00972D7E" w:rsidP="00972D7E">
      <w:pPr>
        <w:spacing w:after="0" w:line="240" w:lineRule="auto"/>
        <w:jc w:val="center"/>
        <w:rPr>
          <w:rFonts w:asciiTheme="minorHAnsi" w:eastAsia="Arial Unicode MS" w:hAnsiTheme="minorHAnsi" w:cs="Arial"/>
          <w:b/>
          <w:color w:val="FFFFFF" w:themeColor="background1"/>
          <w:sz w:val="52"/>
          <w:szCs w:val="72"/>
        </w:rPr>
      </w:pPr>
    </w:p>
    <w:p w:rsidR="00533DAE" w:rsidRDefault="00533DAE" w:rsidP="00972D7E">
      <w:pPr>
        <w:spacing w:after="0" w:line="240" w:lineRule="auto"/>
        <w:jc w:val="center"/>
        <w:rPr>
          <w:rFonts w:asciiTheme="minorHAnsi" w:eastAsia="Arial Unicode MS" w:hAnsiTheme="minorHAnsi" w:cs="Arial"/>
          <w:b/>
          <w:color w:val="FFFFFF" w:themeColor="background1"/>
          <w:sz w:val="52"/>
          <w:szCs w:val="72"/>
        </w:rPr>
      </w:pPr>
    </w:p>
    <w:p w:rsidR="00533DAE" w:rsidRDefault="00EF2CA1" w:rsidP="00533DAE">
      <w:pPr>
        <w:spacing w:after="120" w:line="240" w:lineRule="auto"/>
        <w:jc w:val="center"/>
        <w:rPr>
          <w:rFonts w:asciiTheme="minorHAnsi" w:eastAsia="Arial Unicode MS" w:hAnsiTheme="minorHAnsi" w:cs="Arial"/>
          <w:b/>
          <w:color w:val="FFFFFF" w:themeColor="background1"/>
          <w:sz w:val="52"/>
          <w:szCs w:val="72"/>
        </w:rPr>
      </w:pPr>
      <w:r>
        <w:rPr>
          <w:rFonts w:asciiTheme="minorHAnsi" w:hAnsiTheme="minorHAnsi"/>
          <w:b/>
          <w:color w:val="FFFFFF" w:themeColor="background1"/>
          <w:sz w:val="52"/>
          <w:szCs w:val="72"/>
        </w:rPr>
        <w:t>Principes,</w:t>
      </w:r>
    </w:p>
    <w:p w:rsidR="00EF2CA1" w:rsidRPr="00533DAE" w:rsidRDefault="00C07B53" w:rsidP="00533DAE">
      <w:pPr>
        <w:spacing w:after="120" w:line="240" w:lineRule="auto"/>
        <w:jc w:val="center"/>
        <w:rPr>
          <w:rFonts w:asciiTheme="minorHAnsi" w:eastAsia="Arial Unicode MS" w:hAnsiTheme="minorHAnsi" w:cs="Arial"/>
          <w:b/>
          <w:color w:val="FFFFFF" w:themeColor="background1"/>
          <w:sz w:val="52"/>
          <w:szCs w:val="72"/>
        </w:rPr>
      </w:pPr>
      <w:r>
        <w:rPr>
          <w:rFonts w:asciiTheme="minorHAnsi" w:hAnsiTheme="minorHAnsi"/>
          <w:b/>
          <w:color w:val="FFFFFF" w:themeColor="background1"/>
          <w:sz w:val="52"/>
          <w:szCs w:val="72"/>
        </w:rPr>
        <w:t>c</w:t>
      </w:r>
      <w:r w:rsidR="00EF2CA1">
        <w:rPr>
          <w:rFonts w:asciiTheme="minorHAnsi" w:hAnsiTheme="minorHAnsi"/>
          <w:b/>
          <w:color w:val="FFFFFF" w:themeColor="background1"/>
          <w:sz w:val="52"/>
          <w:szCs w:val="72"/>
        </w:rPr>
        <w:t>ritères</w:t>
      </w:r>
      <w:r>
        <w:rPr>
          <w:rFonts w:asciiTheme="minorHAnsi" w:hAnsiTheme="minorHAnsi"/>
          <w:b/>
          <w:color w:val="FFFFFF" w:themeColor="background1"/>
          <w:sz w:val="52"/>
          <w:szCs w:val="72"/>
        </w:rPr>
        <w:t>,</w:t>
      </w:r>
    </w:p>
    <w:p w:rsidR="00EF2CA1" w:rsidRPr="00533DAE" w:rsidRDefault="00EF2CA1" w:rsidP="00EF2CA1">
      <w:pPr>
        <w:spacing w:after="240"/>
        <w:jc w:val="center"/>
        <w:rPr>
          <w:rFonts w:asciiTheme="minorHAnsi" w:eastAsia="Arial Unicode MS" w:hAnsiTheme="minorHAnsi" w:cs="Arial"/>
          <w:b/>
          <w:color w:val="FFFFFF" w:themeColor="background1"/>
          <w:sz w:val="52"/>
          <w:szCs w:val="72"/>
        </w:rPr>
      </w:pPr>
      <w:r>
        <w:rPr>
          <w:rFonts w:asciiTheme="minorHAnsi" w:hAnsiTheme="minorHAnsi"/>
          <w:b/>
          <w:color w:val="FFFFFF" w:themeColor="background1"/>
          <w:sz w:val="52"/>
          <w:szCs w:val="72"/>
        </w:rPr>
        <w:t>protocole et</w:t>
      </w:r>
    </w:p>
    <w:p w:rsidR="00EF2CA1" w:rsidRPr="00533DAE" w:rsidRDefault="00EF2CA1" w:rsidP="00EF2CA1">
      <w:pPr>
        <w:spacing w:after="240"/>
        <w:jc w:val="center"/>
        <w:rPr>
          <w:rFonts w:asciiTheme="minorHAnsi" w:eastAsia="Arial Unicode MS" w:hAnsiTheme="minorHAnsi" w:cs="Arial"/>
          <w:b/>
          <w:color w:val="FFFFFF" w:themeColor="background1"/>
          <w:sz w:val="52"/>
          <w:szCs w:val="72"/>
        </w:rPr>
      </w:pPr>
      <w:r>
        <w:rPr>
          <w:rFonts w:asciiTheme="minorHAnsi" w:hAnsiTheme="minorHAnsi"/>
          <w:b/>
          <w:color w:val="FFFFFF" w:themeColor="background1"/>
          <w:sz w:val="52"/>
          <w:szCs w:val="72"/>
        </w:rPr>
        <w:t>compétences</w:t>
      </w:r>
    </w:p>
    <w:p w:rsidR="00EF2CA1" w:rsidRPr="00533DAE" w:rsidRDefault="00EF2CA1" w:rsidP="00EF2CA1">
      <w:pPr>
        <w:spacing w:after="240"/>
        <w:jc w:val="center"/>
        <w:rPr>
          <w:rFonts w:asciiTheme="minorHAnsi" w:eastAsia="Arial Unicode MS" w:hAnsiTheme="minorHAnsi" w:cs="Arial"/>
          <w:b/>
          <w:color w:val="FFFFFF" w:themeColor="background1"/>
          <w:sz w:val="52"/>
          <w:szCs w:val="72"/>
        </w:rPr>
      </w:pPr>
    </w:p>
    <w:p w:rsidR="00EF2CA1" w:rsidRPr="00533DAE" w:rsidRDefault="00EF2CA1" w:rsidP="00EF2CA1">
      <w:pPr>
        <w:spacing w:after="240"/>
        <w:jc w:val="center"/>
        <w:rPr>
          <w:rFonts w:asciiTheme="minorHAnsi" w:eastAsia="Arial Unicode MS" w:hAnsiTheme="minorHAnsi" w:cs="Arial"/>
          <w:b/>
          <w:color w:val="FFFFFF" w:themeColor="background1"/>
          <w:sz w:val="52"/>
          <w:szCs w:val="72"/>
        </w:rPr>
      </w:pPr>
      <w:r>
        <w:rPr>
          <w:rFonts w:asciiTheme="minorHAnsi" w:hAnsiTheme="minorHAnsi"/>
          <w:b/>
          <w:color w:val="FFFFFF" w:themeColor="background1"/>
          <w:sz w:val="52"/>
          <w:szCs w:val="72"/>
        </w:rPr>
        <w:t>aux fins de l’obtention du titre d’</w:t>
      </w:r>
    </w:p>
    <w:p w:rsidR="00EF2CA1" w:rsidRPr="00533DAE" w:rsidRDefault="00EF2CA1" w:rsidP="00EF2CA1">
      <w:pPr>
        <w:spacing w:after="240"/>
        <w:jc w:val="center"/>
        <w:rPr>
          <w:rFonts w:asciiTheme="minorHAnsi" w:eastAsia="Arial Unicode MS" w:hAnsiTheme="minorHAnsi" w:cs="Arial"/>
          <w:b/>
          <w:color w:val="FFFFFF" w:themeColor="background1"/>
          <w:sz w:val="40"/>
          <w:szCs w:val="44"/>
        </w:rPr>
      </w:pPr>
    </w:p>
    <w:p w:rsidR="008F3D24" w:rsidRPr="00C07B53" w:rsidRDefault="00EF2CA1" w:rsidP="00F95DBC">
      <w:pPr>
        <w:spacing w:after="120" w:line="240" w:lineRule="auto"/>
        <w:jc w:val="center"/>
        <w:rPr>
          <w:rFonts w:asciiTheme="minorHAnsi" w:hAnsiTheme="minorHAnsi"/>
          <w:b/>
          <w:color w:val="FFFFFF" w:themeColor="background1"/>
          <w:sz w:val="72"/>
          <w:szCs w:val="72"/>
        </w:rPr>
      </w:pPr>
      <w:r w:rsidRPr="00C07B53">
        <w:rPr>
          <w:rFonts w:asciiTheme="minorHAnsi" w:hAnsiTheme="minorHAnsi"/>
          <w:b/>
          <w:color w:val="FFFFFF" w:themeColor="background1"/>
          <w:sz w:val="72"/>
          <w:szCs w:val="72"/>
        </w:rPr>
        <w:t>ARBITRE BREVETÉ (Arb.B)</w:t>
      </w:r>
    </w:p>
    <w:p w:rsidR="00314193" w:rsidRDefault="00314193" w:rsidP="00F95DBC">
      <w:pPr>
        <w:spacing w:after="120" w:line="240" w:lineRule="auto"/>
        <w:jc w:val="center"/>
        <w:rPr>
          <w:b/>
          <w:sz w:val="24"/>
          <w:szCs w:val="24"/>
        </w:rPr>
      </w:pPr>
    </w:p>
    <w:p w:rsidR="004F2663" w:rsidRPr="00314193" w:rsidRDefault="004F2663" w:rsidP="00F95DBC">
      <w:pPr>
        <w:spacing w:after="120" w:line="240" w:lineRule="auto"/>
        <w:jc w:val="center"/>
        <w:rPr>
          <w:b/>
          <w:sz w:val="24"/>
          <w:szCs w:val="24"/>
        </w:rPr>
      </w:pPr>
    </w:p>
    <w:p w:rsidR="008F3D24" w:rsidRPr="00314193" w:rsidRDefault="008F3D24" w:rsidP="00314193">
      <w:pPr>
        <w:spacing w:after="120" w:line="240" w:lineRule="auto"/>
        <w:jc w:val="center"/>
        <w:rPr>
          <w:sz w:val="24"/>
          <w:szCs w:val="24"/>
        </w:rPr>
      </w:pPr>
      <w:r>
        <w:br w:type="page"/>
      </w:r>
    </w:p>
    <w:p w:rsidR="00485832" w:rsidRPr="004767DB" w:rsidRDefault="00485832" w:rsidP="006268BE">
      <w:pPr>
        <w:pStyle w:val="Titre1"/>
      </w:pPr>
      <w:bookmarkStart w:id="0" w:name="_Toc277084517"/>
      <w:r>
        <w:lastRenderedPageBreak/>
        <w:t>I</w:t>
      </w:r>
      <w:r>
        <w:tab/>
        <w:t>INTRODUCTION</w:t>
      </w:r>
      <w:bookmarkEnd w:id="0"/>
    </w:p>
    <w:p w:rsidR="008F3D24" w:rsidRPr="00A21A98" w:rsidRDefault="00FC7FBE" w:rsidP="00571055">
      <w:pPr>
        <w:spacing w:after="120" w:line="240" w:lineRule="auto"/>
        <w:jc w:val="both"/>
        <w:rPr>
          <w:rFonts w:asciiTheme="minorHAnsi" w:hAnsiTheme="minorHAnsi"/>
        </w:rPr>
      </w:pPr>
      <w:r>
        <w:rPr>
          <w:rFonts w:asciiTheme="minorHAnsi" w:hAnsiTheme="minorHAnsi"/>
        </w:rPr>
        <w:br/>
        <w:t xml:space="preserve">L’arbitrage est un processus par lequel les parties prenantes à un différend s’en remettent, en vertu d’une entente, (avant ou après la survenue du différend, ou comme l’exige la loi) à une ou plusieurs personnes, et acceptent ou sont tenues de se conformer aux décisions prises par ces dernières. Dans le cadre de ce processus, le ou les arbitres règlent le différend en déterminant les droits et les obligations juridiques respectifs des parties (à moins que les parties n’aient convenu de suivre une procédure différente), après avoir relevé les faits pertinents et appliqué les règles législatives à ces faits à la lumière des preuves et arguments présentés par les parties. </w:t>
      </w:r>
    </w:p>
    <w:p w:rsidR="008F3D24" w:rsidRPr="00A21A98" w:rsidRDefault="008F3D24" w:rsidP="00571055">
      <w:pPr>
        <w:spacing w:after="120" w:line="240" w:lineRule="auto"/>
        <w:jc w:val="both"/>
        <w:rPr>
          <w:rFonts w:asciiTheme="minorHAnsi" w:hAnsiTheme="minorHAnsi"/>
        </w:rPr>
      </w:pPr>
      <w:r>
        <w:rPr>
          <w:rFonts w:asciiTheme="minorHAnsi" w:hAnsiTheme="minorHAnsi"/>
        </w:rPr>
        <w:t xml:space="preserve">En général, ce processus se caractérise par le fait que les parties choisissent l’arbitre (ou participent au choix), que l’arbitre possède l’autorité de compétence, ainsi que par les principes de l’autonomie des parties, la souplesse procédurale, la confidentialité et la retenue judiciaire. </w:t>
      </w:r>
    </w:p>
    <w:p w:rsidR="005216A8" w:rsidRPr="00A21A98" w:rsidRDefault="002D3B26" w:rsidP="00571055">
      <w:pPr>
        <w:autoSpaceDE w:val="0"/>
        <w:autoSpaceDN w:val="0"/>
        <w:adjustRightInd w:val="0"/>
        <w:spacing w:after="120" w:line="240" w:lineRule="auto"/>
        <w:jc w:val="both"/>
        <w:rPr>
          <w:rFonts w:asciiTheme="minorHAnsi" w:hAnsiTheme="minorHAnsi"/>
        </w:rPr>
      </w:pPr>
      <w:r>
        <w:rPr>
          <w:rFonts w:asciiTheme="minorHAnsi" w:hAnsiTheme="minorHAnsi"/>
        </w:rPr>
        <w:t xml:space="preserve">L’Institut d’arbitrage et de médiation du Canada, Inc. (IAMC) a obtenu la reconnaissance, </w:t>
      </w:r>
      <w:r>
        <w:rPr>
          <w:rFonts w:asciiTheme="minorHAnsi" w:hAnsiTheme="minorHAnsi"/>
          <w:iCs/>
        </w:rPr>
        <w:t>en vertu de la</w:t>
      </w:r>
      <w:r>
        <w:rPr>
          <w:rFonts w:asciiTheme="minorHAnsi" w:hAnsiTheme="minorHAnsi"/>
          <w:i/>
          <w:iCs/>
        </w:rPr>
        <w:t xml:space="preserve"> Loi fédérale sur les marques de commerce, </w:t>
      </w:r>
      <w:r>
        <w:rPr>
          <w:rFonts w:asciiTheme="minorHAnsi" w:hAnsiTheme="minorHAnsi"/>
          <w:iCs/>
        </w:rPr>
        <w:t>des titres</w:t>
      </w:r>
      <w:r>
        <w:rPr>
          <w:rFonts w:asciiTheme="minorHAnsi" w:hAnsiTheme="minorHAnsi"/>
        </w:rPr>
        <w:t xml:space="preserve"> </w:t>
      </w:r>
      <w:r>
        <w:rPr>
          <w:rFonts w:asciiTheme="minorHAnsi" w:hAnsiTheme="minorHAnsi"/>
          <w:i/>
        </w:rPr>
        <w:t>Qualified Arbitrator</w:t>
      </w:r>
      <w:r>
        <w:rPr>
          <w:rFonts w:asciiTheme="minorHAnsi" w:hAnsiTheme="minorHAnsi"/>
        </w:rPr>
        <w:t xml:space="preserve"> (Q. Arb) et Arbitre breveté (Arb.B).</w:t>
      </w:r>
    </w:p>
    <w:p w:rsidR="006268BE" w:rsidRDefault="008F3D24" w:rsidP="004F2663">
      <w:pPr>
        <w:autoSpaceDE w:val="0"/>
        <w:autoSpaceDN w:val="0"/>
        <w:adjustRightInd w:val="0"/>
        <w:spacing w:after="120" w:line="240" w:lineRule="auto"/>
        <w:jc w:val="both"/>
        <w:rPr>
          <w:rFonts w:asciiTheme="minorHAnsi" w:hAnsiTheme="minorHAnsi"/>
        </w:rPr>
      </w:pPr>
      <w:r>
        <w:rPr>
          <w:rFonts w:asciiTheme="minorHAnsi" w:hAnsiTheme="minorHAnsi"/>
        </w:rPr>
        <w:t>Le titre d’Arb.B atteste que le détenteur a suivi la formation de base en arbitrage. Ce titre constitue une étape intermédiaire pour les arbitres ayant l’intention d’obtenir le titre d’arbitre agréé. Ces titres aident les clients à choisir l’arbitre ayant la formation appropriée.</w:t>
      </w:r>
    </w:p>
    <w:p w:rsidR="008F3D24" w:rsidRPr="00A21A98" w:rsidRDefault="008F3D24" w:rsidP="00571055">
      <w:pPr>
        <w:spacing w:after="120" w:line="240" w:lineRule="auto"/>
        <w:jc w:val="both"/>
        <w:rPr>
          <w:rFonts w:asciiTheme="minorHAnsi" w:hAnsiTheme="minorHAnsi"/>
        </w:rPr>
      </w:pPr>
      <w:r>
        <w:rPr>
          <w:rFonts w:asciiTheme="minorHAnsi" w:hAnsiTheme="minorHAnsi"/>
        </w:rPr>
        <w:t xml:space="preserve">En détenant le titre d’Arb.B, l’arbitre présente une preuve reconnue attestant qu’il répond aux critères de formation minimaux définis à l’échelle nationale. Étant donné que ces normes correspondent aux critères minimums à l’échelle nationale, les affiliés régionaux de l’IAMC peuvent imposer des critères supplémentaires à l’échelle régionale s’ils le désirent. </w:t>
      </w:r>
    </w:p>
    <w:p w:rsidR="008F3D24" w:rsidRPr="00A21A98" w:rsidRDefault="008F3D24" w:rsidP="00571055">
      <w:pPr>
        <w:spacing w:after="120" w:line="240" w:lineRule="auto"/>
        <w:jc w:val="both"/>
        <w:rPr>
          <w:rFonts w:asciiTheme="minorHAnsi" w:hAnsiTheme="minorHAnsi"/>
        </w:rPr>
      </w:pPr>
      <w:r>
        <w:rPr>
          <w:rFonts w:asciiTheme="minorHAnsi" w:hAnsiTheme="minorHAnsi"/>
        </w:rPr>
        <w:t>Afin de s’assurer que les personnes autorisées à utiliser ce titre satisfont à un ensemble de normes élevées, rigoureuses et uniformes, l’IAMC a établi des principes généraux, un ensemble de critères et un protocole à utiliser afin d’évaluer l’admissibilité d’un demandeur désirant obtenir ce titre et aux fins d’accorder ledit titre.</w:t>
      </w:r>
    </w:p>
    <w:p w:rsidR="008F3D24" w:rsidRPr="00A21A98" w:rsidRDefault="008F3D24" w:rsidP="00571055">
      <w:pPr>
        <w:spacing w:after="120" w:line="240" w:lineRule="auto"/>
        <w:jc w:val="both"/>
        <w:rPr>
          <w:rFonts w:asciiTheme="minorHAnsi" w:hAnsiTheme="minorHAnsi"/>
        </w:rPr>
      </w:pPr>
      <w:r>
        <w:rPr>
          <w:rFonts w:asciiTheme="minorHAnsi" w:hAnsiTheme="minorHAnsi"/>
        </w:rPr>
        <w:t xml:space="preserve">Des aptitudes et des compétences particulières supplémentaires peuvent s’avérer nécessaires et souhaitables dans le cas d’arbitres travaillant dans des secteurs particuliers comme l’arbitrage maritime et l’arbitrage du travail. </w:t>
      </w:r>
    </w:p>
    <w:p w:rsidR="008F3D24" w:rsidRPr="00A21A98" w:rsidRDefault="00F039BF" w:rsidP="00571055">
      <w:pPr>
        <w:spacing w:after="120" w:line="240" w:lineRule="auto"/>
        <w:jc w:val="both"/>
        <w:rPr>
          <w:rFonts w:asciiTheme="minorHAnsi" w:hAnsiTheme="minorHAnsi"/>
        </w:rPr>
      </w:pPr>
      <w:r>
        <w:rPr>
          <w:rFonts w:asciiTheme="minorHAnsi" w:hAnsiTheme="minorHAnsi"/>
        </w:rPr>
        <w:t>L’IAMC est un organisme d’envergure nationale représenté à l’échelle du Canada par ses affiliés régionaux, qui administrent et régissent le titre d’Arb.B dans leurs régions respectives.</w:t>
      </w:r>
    </w:p>
    <w:p w:rsidR="008F3D24" w:rsidRDefault="008F3D24" w:rsidP="00571055">
      <w:pPr>
        <w:spacing w:after="120" w:line="240" w:lineRule="auto"/>
        <w:jc w:val="both"/>
        <w:rPr>
          <w:rFonts w:asciiTheme="minorHAnsi" w:hAnsiTheme="minorHAnsi"/>
        </w:rPr>
      </w:pPr>
      <w:r>
        <w:rPr>
          <w:rFonts w:asciiTheme="minorHAnsi" w:hAnsiTheme="minorHAnsi"/>
        </w:rPr>
        <w:t>Toutes les références aux règlements, formules et exigences se rapportent à la version la plus récente desdits règlements, formules et exigences, approuvée par le Conseil d’administration de l’IAMC.</w:t>
      </w:r>
    </w:p>
    <w:p w:rsidR="008C162F" w:rsidRPr="00A21A98" w:rsidRDefault="008C162F" w:rsidP="00571055">
      <w:pPr>
        <w:spacing w:after="120" w:line="240" w:lineRule="auto"/>
        <w:jc w:val="both"/>
        <w:rPr>
          <w:rFonts w:asciiTheme="minorHAnsi" w:hAnsiTheme="minorHAnsi"/>
        </w:rPr>
      </w:pPr>
    </w:p>
    <w:p w:rsidR="00485832" w:rsidRPr="004767DB" w:rsidRDefault="00485832" w:rsidP="00485832">
      <w:pPr>
        <w:pStyle w:val="Titre2"/>
        <w:jc w:val="both"/>
        <w:rPr>
          <w:rFonts w:cs="Calibri"/>
          <w:color w:val="548DD4"/>
          <w:sz w:val="22"/>
          <w:szCs w:val="22"/>
        </w:rPr>
      </w:pPr>
      <w:bookmarkStart w:id="1" w:name="_Toc277084521"/>
      <w:r>
        <w:rPr>
          <w:color w:val="548DD4"/>
          <w:sz w:val="22"/>
          <w:szCs w:val="22"/>
        </w:rPr>
        <w:t>II</w:t>
      </w:r>
      <w:r>
        <w:rPr>
          <w:color w:val="548DD4"/>
          <w:sz w:val="22"/>
          <w:szCs w:val="22"/>
        </w:rPr>
        <w:tab/>
        <w:t>DÉFINITIONS</w:t>
      </w:r>
      <w:bookmarkEnd w:id="1"/>
      <w:r>
        <w:rPr>
          <w:color w:val="548DD4"/>
          <w:sz w:val="22"/>
          <w:szCs w:val="22"/>
        </w:rPr>
        <w:t xml:space="preserve"> </w:t>
      </w:r>
    </w:p>
    <w:p w:rsidR="008F3D24" w:rsidRPr="00A21A98" w:rsidRDefault="008F3D24" w:rsidP="00571055">
      <w:pPr>
        <w:spacing w:after="120" w:line="240" w:lineRule="auto"/>
        <w:jc w:val="both"/>
        <w:rPr>
          <w:rFonts w:asciiTheme="minorHAnsi" w:hAnsiTheme="minorHAnsi"/>
        </w:rPr>
      </w:pPr>
      <w:r>
        <w:rPr>
          <w:rFonts w:asciiTheme="minorHAnsi" w:hAnsiTheme="minorHAnsi"/>
        </w:rPr>
        <w:t>COMITÉ D’AGRÉMENT RÉGIONAL DES ARBITRES BREVETÉS (le « Comité régional ») </w:t>
      </w:r>
      <w:r w:rsidR="00C07B53">
        <w:rPr>
          <w:rFonts w:asciiTheme="minorHAnsi" w:hAnsiTheme="minorHAnsi"/>
        </w:rPr>
        <w:t>: Le</w:t>
      </w:r>
      <w:r>
        <w:rPr>
          <w:rFonts w:asciiTheme="minorHAnsi" w:hAnsiTheme="minorHAnsi"/>
        </w:rPr>
        <w:t xml:space="preserve"> Comité régional est nommé, dans chaque région, par la section régionale affiliée de l’IAMC et doit être constitué d’au moins trois arbitres agréés. Au moins deux des trois membres du comité constituent le quorum.</w:t>
      </w:r>
    </w:p>
    <w:p w:rsidR="008F3D24" w:rsidRDefault="008F3D24" w:rsidP="00571055">
      <w:pPr>
        <w:jc w:val="both"/>
        <w:rPr>
          <w:rFonts w:asciiTheme="minorHAnsi" w:hAnsiTheme="minorHAnsi"/>
        </w:rPr>
      </w:pPr>
      <w:bookmarkStart w:id="2" w:name="_Toc326586827"/>
      <w:r>
        <w:rPr>
          <w:rFonts w:asciiTheme="minorHAnsi" w:hAnsiTheme="minorHAnsi"/>
        </w:rPr>
        <w:t>COMITÉ NATIONAL DE VÉRIFICATION ET DES APPELS EN ARBITRAGE (le « Comité national ») : Le Comité national est nommé par l’IAMC et doit être constitué d’au moins trois arbitres agréés.</w:t>
      </w:r>
      <w:bookmarkEnd w:id="2"/>
      <w:r>
        <w:rPr>
          <w:rFonts w:asciiTheme="minorHAnsi" w:hAnsiTheme="minorHAnsi"/>
        </w:rPr>
        <w:t xml:space="preserve"> </w:t>
      </w:r>
    </w:p>
    <w:p w:rsidR="00FC7FBE" w:rsidRDefault="00FC7FBE">
      <w:pPr>
        <w:spacing w:after="0" w:line="240" w:lineRule="auto"/>
        <w:rPr>
          <w:rFonts w:asciiTheme="minorHAnsi" w:hAnsiTheme="minorHAnsi"/>
        </w:rPr>
      </w:pPr>
      <w:r>
        <w:br w:type="page"/>
      </w:r>
    </w:p>
    <w:p w:rsidR="008C162F" w:rsidRPr="004767DB" w:rsidRDefault="008C162F" w:rsidP="008C162F">
      <w:pPr>
        <w:pStyle w:val="Titre2"/>
        <w:keepNext w:val="0"/>
        <w:keepLines w:val="0"/>
        <w:jc w:val="both"/>
        <w:rPr>
          <w:rFonts w:cs="Calibri"/>
          <w:color w:val="548DD4"/>
          <w:sz w:val="22"/>
          <w:szCs w:val="22"/>
        </w:rPr>
      </w:pPr>
      <w:bookmarkStart w:id="3" w:name="_Toc277084520"/>
      <w:r>
        <w:rPr>
          <w:color w:val="548DD4"/>
          <w:sz w:val="22"/>
          <w:szCs w:val="22"/>
        </w:rPr>
        <w:lastRenderedPageBreak/>
        <w:t>III</w:t>
      </w:r>
      <w:r>
        <w:rPr>
          <w:color w:val="548DD4"/>
          <w:sz w:val="22"/>
          <w:szCs w:val="22"/>
        </w:rPr>
        <w:tab/>
        <w:t>PRINCIPES GÉNÉRAUX</w:t>
      </w:r>
    </w:p>
    <w:p w:rsidR="008F3D24" w:rsidRPr="00A21A98" w:rsidRDefault="008F3D24" w:rsidP="00571055">
      <w:pPr>
        <w:jc w:val="both"/>
        <w:rPr>
          <w:rFonts w:asciiTheme="minorHAnsi" w:hAnsiTheme="minorHAnsi"/>
          <w:b/>
          <w:bCs/>
        </w:rPr>
      </w:pPr>
      <w:r>
        <w:rPr>
          <w:rFonts w:asciiTheme="minorHAnsi" w:hAnsiTheme="minorHAnsi"/>
        </w:rPr>
        <w:t>Tout membre de l’IA</w:t>
      </w:r>
      <w:bookmarkStart w:id="4" w:name="_GoBack"/>
      <w:bookmarkEnd w:id="4"/>
      <w:r>
        <w:rPr>
          <w:rFonts w:asciiTheme="minorHAnsi" w:hAnsiTheme="minorHAnsi"/>
        </w:rPr>
        <w:t xml:space="preserve">MC qui satisfait aux normes exigées d’un arbitre breveté peut présenter une demande aux fins d’obtention du titre au moyen du formulaire prescrit par l’IAMC. </w:t>
      </w:r>
    </w:p>
    <w:p w:rsidR="008F3D24" w:rsidRPr="00A21A98" w:rsidRDefault="008F3D24" w:rsidP="00571055">
      <w:pPr>
        <w:jc w:val="both"/>
        <w:rPr>
          <w:rFonts w:asciiTheme="minorHAnsi" w:hAnsiTheme="minorHAnsi"/>
          <w:b/>
          <w:bCs/>
        </w:rPr>
      </w:pPr>
      <w:r>
        <w:rPr>
          <w:rFonts w:asciiTheme="minorHAnsi" w:hAnsiTheme="minorHAnsi"/>
        </w:rPr>
        <w:t xml:space="preserve">Le processus suivant est nécessaire pour qualifier un demandeur à la certification. </w:t>
      </w:r>
    </w:p>
    <w:p w:rsidR="008F3D24" w:rsidRPr="00CE490E" w:rsidRDefault="008F3D24" w:rsidP="00CE490E">
      <w:pPr>
        <w:pStyle w:val="Paragraphedeliste"/>
        <w:numPr>
          <w:ilvl w:val="0"/>
          <w:numId w:val="9"/>
        </w:numPr>
        <w:rPr>
          <w:rFonts w:asciiTheme="minorHAnsi" w:hAnsiTheme="minorHAnsi"/>
          <w:b/>
          <w:bCs/>
          <w:sz w:val="16"/>
          <w:szCs w:val="16"/>
        </w:rPr>
      </w:pPr>
      <w:r>
        <w:rPr>
          <w:rFonts w:asciiTheme="minorHAnsi" w:hAnsiTheme="minorHAnsi"/>
        </w:rPr>
        <w:t>Le demandeur doit satisfaire aux exigences en matière de formation et avoir réussi les examens écrits.</w:t>
      </w:r>
      <w:r>
        <w:rPr>
          <w:rFonts w:asciiTheme="minorHAnsi" w:hAnsiTheme="minorHAnsi"/>
        </w:rPr>
        <w:br/>
      </w:r>
      <w:r>
        <w:rPr>
          <w:rFonts w:asciiTheme="minorHAnsi" w:hAnsiTheme="minorHAnsi"/>
          <w:sz w:val="16"/>
          <w:szCs w:val="16"/>
        </w:rPr>
        <w:t xml:space="preserve"> </w:t>
      </w:r>
    </w:p>
    <w:p w:rsidR="008F3D24" w:rsidRPr="00CE490E" w:rsidRDefault="008F3D24" w:rsidP="00CE490E">
      <w:pPr>
        <w:pStyle w:val="Paragraphedeliste"/>
        <w:numPr>
          <w:ilvl w:val="0"/>
          <w:numId w:val="9"/>
        </w:numPr>
        <w:rPr>
          <w:rFonts w:asciiTheme="minorHAnsi" w:hAnsiTheme="minorHAnsi"/>
          <w:b/>
          <w:bCs/>
          <w:sz w:val="16"/>
          <w:szCs w:val="16"/>
        </w:rPr>
      </w:pPr>
      <w:r>
        <w:rPr>
          <w:rFonts w:asciiTheme="minorHAnsi" w:hAnsiTheme="minorHAnsi"/>
        </w:rPr>
        <w:t>Le Comité régional examine et approuve la demande déposée par écrit.</w:t>
      </w:r>
      <w:r>
        <w:rPr>
          <w:rFonts w:asciiTheme="minorHAnsi" w:hAnsiTheme="minorHAnsi"/>
        </w:rPr>
        <w:br/>
      </w:r>
      <w:r>
        <w:rPr>
          <w:rFonts w:asciiTheme="minorHAnsi" w:hAnsiTheme="minorHAnsi"/>
          <w:sz w:val="16"/>
          <w:szCs w:val="16"/>
        </w:rPr>
        <w:t xml:space="preserve"> </w:t>
      </w:r>
    </w:p>
    <w:p w:rsidR="008F3D24" w:rsidRPr="00A21A98" w:rsidRDefault="008F3D24" w:rsidP="0057156C">
      <w:pPr>
        <w:pStyle w:val="Paragraphedeliste"/>
        <w:numPr>
          <w:ilvl w:val="0"/>
          <w:numId w:val="9"/>
        </w:numPr>
        <w:jc w:val="both"/>
        <w:rPr>
          <w:rFonts w:asciiTheme="minorHAnsi" w:hAnsiTheme="minorHAnsi"/>
          <w:b/>
          <w:bCs/>
        </w:rPr>
      </w:pPr>
      <w:r>
        <w:rPr>
          <w:rFonts w:asciiTheme="minorHAnsi" w:hAnsiTheme="minorHAnsi"/>
        </w:rPr>
        <w:t xml:space="preserve">L’IAMC examine et approuve la demande, uniquement dans un souci d’exhaustivité. </w:t>
      </w:r>
    </w:p>
    <w:p w:rsidR="008F3D24" w:rsidRPr="00A21A98" w:rsidRDefault="008F3D24" w:rsidP="005F2754">
      <w:pPr>
        <w:jc w:val="both"/>
        <w:rPr>
          <w:rFonts w:asciiTheme="minorHAnsi" w:hAnsiTheme="minorHAnsi"/>
        </w:rPr>
      </w:pPr>
      <w:r>
        <w:rPr>
          <w:rFonts w:asciiTheme="minorHAnsi" w:hAnsiTheme="minorHAnsi"/>
        </w:rPr>
        <w:t xml:space="preserve">Le titre est accordé par l’IAMC et est assujetti au renouvellement ou à la révocation conformément aux règles établies par l’IAMC. </w:t>
      </w:r>
    </w:p>
    <w:p w:rsidR="00A46552" w:rsidRDefault="008F3D24" w:rsidP="00571055">
      <w:pPr>
        <w:jc w:val="both"/>
        <w:rPr>
          <w:rFonts w:asciiTheme="minorHAnsi" w:hAnsiTheme="minorHAnsi"/>
        </w:rPr>
      </w:pPr>
      <w:r>
        <w:rPr>
          <w:rFonts w:asciiTheme="minorHAnsi" w:hAnsiTheme="minorHAnsi"/>
        </w:rPr>
        <w:t xml:space="preserve">Le certificat attestant la possession du titre reste en tout temps la propriété de l’IAMC. </w:t>
      </w:r>
    </w:p>
    <w:bookmarkEnd w:id="3"/>
    <w:p w:rsidR="008C162F" w:rsidRPr="004767DB" w:rsidRDefault="008C162F" w:rsidP="008C162F">
      <w:pPr>
        <w:pStyle w:val="Titre2"/>
        <w:jc w:val="both"/>
        <w:rPr>
          <w:rFonts w:cs="Calibri"/>
          <w:color w:val="548DD4"/>
          <w:sz w:val="22"/>
          <w:szCs w:val="22"/>
        </w:rPr>
      </w:pPr>
      <w:r>
        <w:rPr>
          <w:color w:val="548DD4"/>
          <w:sz w:val="22"/>
          <w:szCs w:val="22"/>
        </w:rPr>
        <w:t>IV</w:t>
      </w:r>
      <w:r>
        <w:rPr>
          <w:color w:val="548DD4"/>
          <w:sz w:val="22"/>
          <w:szCs w:val="22"/>
        </w:rPr>
        <w:tab/>
        <w:t>CRITÈRES</w:t>
      </w:r>
    </w:p>
    <w:p w:rsidR="008F3D24" w:rsidRPr="00A21A98" w:rsidRDefault="008F3D24" w:rsidP="00571055">
      <w:pPr>
        <w:spacing w:after="120" w:line="240" w:lineRule="auto"/>
        <w:jc w:val="both"/>
        <w:rPr>
          <w:rFonts w:asciiTheme="minorHAnsi" w:hAnsiTheme="minorHAnsi"/>
        </w:rPr>
      </w:pPr>
      <w:r>
        <w:rPr>
          <w:rFonts w:asciiTheme="minorHAnsi" w:hAnsiTheme="minorHAnsi"/>
        </w:rPr>
        <w:t xml:space="preserve">Tout demandeur doit satisfaire aux critères et conditions ci-après : </w:t>
      </w:r>
    </w:p>
    <w:p w:rsidR="008F3D24" w:rsidRPr="00A21A98" w:rsidRDefault="00CE490E" w:rsidP="0057156C">
      <w:pPr>
        <w:pStyle w:val="Titre2"/>
        <w:numPr>
          <w:ilvl w:val="1"/>
          <w:numId w:val="3"/>
        </w:numPr>
        <w:jc w:val="both"/>
        <w:rPr>
          <w:rFonts w:asciiTheme="minorHAnsi" w:hAnsiTheme="minorHAnsi"/>
          <w:sz w:val="22"/>
          <w:szCs w:val="22"/>
        </w:rPr>
      </w:pPr>
      <w:bookmarkStart w:id="5" w:name="_Toc326586830"/>
      <w:bookmarkStart w:id="6" w:name="_Toc334004689"/>
      <w:r>
        <w:rPr>
          <w:rFonts w:asciiTheme="minorHAnsi" w:hAnsiTheme="minorHAnsi"/>
          <w:sz w:val="22"/>
          <w:szCs w:val="22"/>
        </w:rPr>
        <w:t>FORMATION</w:t>
      </w:r>
      <w:bookmarkEnd w:id="5"/>
      <w:bookmarkEnd w:id="6"/>
    </w:p>
    <w:p w:rsidR="008F3D24" w:rsidRPr="00A21A98" w:rsidRDefault="008F3D24" w:rsidP="0057156C">
      <w:pPr>
        <w:pStyle w:val="Paragraphedeliste"/>
        <w:numPr>
          <w:ilvl w:val="0"/>
          <w:numId w:val="2"/>
        </w:numPr>
        <w:spacing w:after="120" w:line="240" w:lineRule="auto"/>
        <w:ind w:left="1800"/>
        <w:jc w:val="both"/>
        <w:rPr>
          <w:rFonts w:asciiTheme="minorHAnsi" w:hAnsiTheme="minorHAnsi"/>
        </w:rPr>
      </w:pPr>
      <w:r>
        <w:rPr>
          <w:rFonts w:asciiTheme="minorHAnsi" w:hAnsiTheme="minorHAnsi"/>
        </w:rPr>
        <w:t>Avoir suivi avec succès un cours de formation de 40 heures ou plus, en arbitrage et en procédure d’audience, approuvé par l’Institut d’arbitrage et de médiation du Canada ou l’une de ses sections régionales affiliées;</w:t>
      </w:r>
    </w:p>
    <w:p w:rsidR="008F3D24" w:rsidRPr="00A21A98" w:rsidRDefault="008F3D24" w:rsidP="00571055">
      <w:pPr>
        <w:spacing w:after="120" w:line="240" w:lineRule="auto"/>
        <w:ind w:left="1800"/>
        <w:jc w:val="both"/>
        <w:rPr>
          <w:rFonts w:asciiTheme="minorHAnsi" w:hAnsiTheme="minorHAnsi"/>
        </w:rPr>
      </w:pPr>
      <w:r>
        <w:rPr>
          <w:rFonts w:asciiTheme="minorHAnsi" w:hAnsiTheme="minorHAnsi"/>
        </w:rPr>
        <w:t>et</w:t>
      </w:r>
    </w:p>
    <w:p w:rsidR="008F3D24" w:rsidRPr="00A21A98" w:rsidRDefault="008F3D24" w:rsidP="0057156C">
      <w:pPr>
        <w:pStyle w:val="Paragraphedeliste"/>
        <w:numPr>
          <w:ilvl w:val="0"/>
          <w:numId w:val="2"/>
        </w:numPr>
        <w:spacing w:after="120" w:line="240" w:lineRule="auto"/>
        <w:ind w:left="1800"/>
        <w:jc w:val="both"/>
        <w:rPr>
          <w:rFonts w:asciiTheme="minorHAnsi" w:hAnsiTheme="minorHAnsi"/>
        </w:rPr>
      </w:pPr>
      <w:r>
        <w:rPr>
          <w:rFonts w:asciiTheme="minorHAnsi" w:hAnsiTheme="minorHAnsi"/>
        </w:rPr>
        <w:t>Avoir réussi l’examen avec documentation aux fins d’obtention du titre d’Arbitre breveté de l’IAMC ou un examen faisant partie d’un cours approuvé par l’IAMC ou l’une de ses sections régionales affiliées, dans les dix (10) ans précédant la soumission de la demande.</w:t>
      </w:r>
    </w:p>
    <w:p w:rsidR="008F3D24" w:rsidRPr="00A21A98" w:rsidRDefault="00CE490E" w:rsidP="0057156C">
      <w:pPr>
        <w:pStyle w:val="Titre2"/>
        <w:numPr>
          <w:ilvl w:val="1"/>
          <w:numId w:val="3"/>
        </w:numPr>
        <w:jc w:val="both"/>
        <w:rPr>
          <w:rFonts w:asciiTheme="minorHAnsi" w:hAnsiTheme="minorHAnsi"/>
          <w:sz w:val="22"/>
          <w:szCs w:val="22"/>
        </w:rPr>
      </w:pPr>
      <w:bookmarkStart w:id="7" w:name="_Toc326586831"/>
      <w:bookmarkStart w:id="8" w:name="_Toc334004690"/>
      <w:r>
        <w:rPr>
          <w:rFonts w:asciiTheme="minorHAnsi" w:hAnsiTheme="minorHAnsi"/>
          <w:sz w:val="22"/>
          <w:szCs w:val="22"/>
        </w:rPr>
        <w:t>ENGAGEMENT</w:t>
      </w:r>
      <w:bookmarkEnd w:id="7"/>
      <w:bookmarkEnd w:id="8"/>
    </w:p>
    <w:p w:rsidR="008F3D24" w:rsidRPr="00A21A98" w:rsidRDefault="008F3D24" w:rsidP="00571055">
      <w:pPr>
        <w:spacing w:after="120" w:line="240" w:lineRule="auto"/>
        <w:ind w:left="1440"/>
        <w:jc w:val="both"/>
        <w:rPr>
          <w:rFonts w:asciiTheme="minorHAnsi" w:hAnsiTheme="minorHAnsi"/>
        </w:rPr>
      </w:pPr>
      <w:r>
        <w:rPr>
          <w:rFonts w:asciiTheme="minorHAnsi" w:hAnsiTheme="minorHAnsi"/>
        </w:rPr>
        <w:t xml:space="preserve">Le demandeur s’engage à se conformer au </w:t>
      </w:r>
      <w:r>
        <w:rPr>
          <w:rStyle w:val="Lienhypertexte"/>
          <w:color w:val="0070C0"/>
        </w:rPr>
        <w:t xml:space="preserve">Code d’éthique </w:t>
      </w:r>
      <w:r>
        <w:t xml:space="preserve"> de l’IAMC.</w:t>
      </w:r>
    </w:p>
    <w:p w:rsidR="008F3D24" w:rsidRPr="00A21A98" w:rsidRDefault="00CE490E" w:rsidP="0057156C">
      <w:pPr>
        <w:pStyle w:val="Titre2"/>
        <w:numPr>
          <w:ilvl w:val="1"/>
          <w:numId w:val="3"/>
        </w:numPr>
        <w:jc w:val="both"/>
        <w:rPr>
          <w:rFonts w:asciiTheme="minorHAnsi" w:hAnsiTheme="minorHAnsi"/>
          <w:sz w:val="22"/>
          <w:szCs w:val="22"/>
        </w:rPr>
      </w:pPr>
      <w:bookmarkStart w:id="9" w:name="_Toc326586832"/>
      <w:bookmarkStart w:id="10" w:name="_Toc334004691"/>
      <w:r>
        <w:rPr>
          <w:rFonts w:asciiTheme="minorHAnsi" w:hAnsiTheme="minorHAnsi"/>
          <w:sz w:val="22"/>
          <w:szCs w:val="22"/>
        </w:rPr>
        <w:t>QUALITÉ DE MEMBRE</w:t>
      </w:r>
      <w:bookmarkEnd w:id="9"/>
      <w:bookmarkEnd w:id="10"/>
    </w:p>
    <w:p w:rsidR="008F3D24" w:rsidRPr="00A21A98" w:rsidRDefault="008F3D24" w:rsidP="00571055">
      <w:pPr>
        <w:spacing w:after="120" w:line="240" w:lineRule="auto"/>
        <w:ind w:left="1440"/>
        <w:jc w:val="both"/>
        <w:rPr>
          <w:rFonts w:asciiTheme="minorHAnsi" w:hAnsiTheme="minorHAnsi"/>
        </w:rPr>
      </w:pPr>
      <w:r>
        <w:rPr>
          <w:rFonts w:asciiTheme="minorHAnsi" w:hAnsiTheme="minorHAnsi"/>
        </w:rPr>
        <w:t>Le demandeur doit être membre en bonne et due forme de l’IAMC, à savoir être membre en bonne et due forme d’une section régionale affiliée. Le titre d’Arb.B. n’est plus valable à partir du moment où son détenteur n’est plus membre de l’IAMC ou d’une section régionale affiliée ou n’acquitte plus les droits de cotisation annuels.</w:t>
      </w:r>
    </w:p>
    <w:p w:rsidR="008F3D24" w:rsidRPr="00A21A98" w:rsidRDefault="00CE490E" w:rsidP="0057156C">
      <w:pPr>
        <w:pStyle w:val="Titre2"/>
        <w:numPr>
          <w:ilvl w:val="1"/>
          <w:numId w:val="3"/>
        </w:numPr>
        <w:jc w:val="both"/>
        <w:rPr>
          <w:rFonts w:asciiTheme="minorHAnsi" w:hAnsiTheme="minorHAnsi"/>
          <w:sz w:val="22"/>
          <w:szCs w:val="22"/>
        </w:rPr>
      </w:pPr>
      <w:bookmarkStart w:id="11" w:name="_Toc326586833"/>
      <w:bookmarkStart w:id="12" w:name="_Toc334004692"/>
      <w:r>
        <w:rPr>
          <w:rFonts w:asciiTheme="minorHAnsi" w:hAnsiTheme="minorHAnsi"/>
          <w:sz w:val="22"/>
          <w:szCs w:val="22"/>
        </w:rPr>
        <w:t>FRAIS DE DEMANDE</w:t>
      </w:r>
      <w:bookmarkEnd w:id="11"/>
      <w:bookmarkEnd w:id="12"/>
    </w:p>
    <w:p w:rsidR="008F3D24" w:rsidRPr="00A21A98" w:rsidRDefault="008F3D24" w:rsidP="00571055">
      <w:pPr>
        <w:spacing w:after="120" w:line="240" w:lineRule="auto"/>
        <w:ind w:left="1440"/>
        <w:jc w:val="both"/>
        <w:rPr>
          <w:rFonts w:asciiTheme="minorHAnsi" w:hAnsiTheme="minorHAnsi"/>
        </w:rPr>
      </w:pPr>
      <w:r>
        <w:rPr>
          <w:rFonts w:asciiTheme="minorHAnsi" w:hAnsiTheme="minorHAnsi"/>
        </w:rPr>
        <w:t xml:space="preserve">Le demandeur doit acquitter les frais de demande auprès de sa section régionale affiliée. </w:t>
      </w:r>
    </w:p>
    <w:p w:rsidR="008F3D24" w:rsidRPr="00A21A98" w:rsidRDefault="00CE490E" w:rsidP="00D52F62">
      <w:pPr>
        <w:pStyle w:val="Titre2"/>
        <w:numPr>
          <w:ilvl w:val="1"/>
          <w:numId w:val="3"/>
        </w:numPr>
        <w:rPr>
          <w:rFonts w:asciiTheme="minorHAnsi" w:hAnsiTheme="minorHAnsi"/>
          <w:sz w:val="22"/>
          <w:szCs w:val="22"/>
        </w:rPr>
      </w:pPr>
      <w:bookmarkStart w:id="13" w:name="_Toc334004693"/>
      <w:r>
        <w:rPr>
          <w:rFonts w:asciiTheme="minorHAnsi" w:hAnsiTheme="minorHAnsi"/>
          <w:sz w:val="22"/>
          <w:szCs w:val="22"/>
        </w:rPr>
        <w:t>EXIGENCES PERMANENTES</w:t>
      </w:r>
      <w:bookmarkEnd w:id="13"/>
    </w:p>
    <w:p w:rsidR="008F3D24" w:rsidRPr="00A21A98" w:rsidRDefault="008F3D24" w:rsidP="0057156C">
      <w:pPr>
        <w:pStyle w:val="Paragraphedeliste"/>
        <w:numPr>
          <w:ilvl w:val="0"/>
          <w:numId w:val="11"/>
        </w:numPr>
        <w:spacing w:after="120" w:line="240" w:lineRule="auto"/>
        <w:ind w:left="1797" w:hanging="357"/>
        <w:contextualSpacing w:val="0"/>
        <w:jc w:val="both"/>
        <w:rPr>
          <w:rFonts w:asciiTheme="minorHAnsi" w:hAnsiTheme="minorHAnsi"/>
        </w:rPr>
      </w:pPr>
      <w:r>
        <w:rPr>
          <w:rFonts w:asciiTheme="minorHAnsi" w:hAnsiTheme="minorHAnsi"/>
        </w:rPr>
        <w:t>Tous les trois ans, les arbitres brevetés sont tenus d’acquérir un certain nombre de points conformément aux dispositions du Conseil d’administration de l’IAMC dans le cadre du programme Formation continue et participation.</w:t>
      </w:r>
    </w:p>
    <w:p w:rsidR="008F3D24" w:rsidRPr="00A21A98" w:rsidRDefault="008F3D24" w:rsidP="0057156C">
      <w:pPr>
        <w:pStyle w:val="Paragraphedeliste"/>
        <w:numPr>
          <w:ilvl w:val="0"/>
          <w:numId w:val="11"/>
        </w:numPr>
        <w:spacing w:after="120" w:line="240" w:lineRule="auto"/>
        <w:ind w:left="1797" w:hanging="357"/>
        <w:contextualSpacing w:val="0"/>
        <w:jc w:val="both"/>
        <w:rPr>
          <w:rFonts w:asciiTheme="minorHAnsi" w:hAnsiTheme="minorHAnsi"/>
        </w:rPr>
      </w:pPr>
      <w:r>
        <w:rPr>
          <w:rFonts w:asciiTheme="minorHAnsi" w:hAnsiTheme="minorHAnsi"/>
        </w:rPr>
        <w:lastRenderedPageBreak/>
        <w:t>Le titre d’Arb.B doit être renouvelé tous les ans. Les détenteurs du titre d’Arb.B doivent acquitter des droits de cotisation annuels auprès de l’IAMC. Ces droits sont en sus des frais de demande et droits de cotisation à acquitter auprès d’une section régionale affiliée.</w:t>
      </w:r>
    </w:p>
    <w:p w:rsidR="008F3D24" w:rsidRPr="00A21A98" w:rsidRDefault="008F3D24" w:rsidP="0057156C">
      <w:pPr>
        <w:pStyle w:val="Paragraphedeliste"/>
        <w:numPr>
          <w:ilvl w:val="0"/>
          <w:numId w:val="11"/>
        </w:numPr>
        <w:spacing w:after="120" w:line="240" w:lineRule="auto"/>
        <w:ind w:left="1797" w:hanging="357"/>
        <w:contextualSpacing w:val="0"/>
        <w:jc w:val="both"/>
        <w:rPr>
          <w:rFonts w:asciiTheme="minorHAnsi" w:hAnsiTheme="minorHAnsi"/>
        </w:rPr>
      </w:pPr>
      <w:r>
        <w:rPr>
          <w:rFonts w:asciiTheme="minorHAnsi" w:hAnsiTheme="minorHAnsi"/>
        </w:rPr>
        <w:t>Les arbitres brevetés sont tenus de souscrire une assurance responsabilité civile professionnelle d’un montant déterminé par l’IAMC et d’en fournir la preuve sur demande de l’IAMC.</w:t>
      </w:r>
    </w:p>
    <w:p w:rsidR="008F3D24" w:rsidRDefault="008F3D24" w:rsidP="0057156C">
      <w:pPr>
        <w:pStyle w:val="Paragraphedeliste"/>
        <w:numPr>
          <w:ilvl w:val="0"/>
          <w:numId w:val="11"/>
        </w:numPr>
        <w:spacing w:after="120" w:line="240" w:lineRule="auto"/>
        <w:ind w:left="1797" w:hanging="357"/>
        <w:contextualSpacing w:val="0"/>
        <w:jc w:val="both"/>
        <w:rPr>
          <w:rFonts w:asciiTheme="minorHAnsi" w:hAnsiTheme="minorHAnsi"/>
        </w:rPr>
      </w:pPr>
      <w:r>
        <w:rPr>
          <w:rFonts w:asciiTheme="minorHAnsi" w:hAnsiTheme="minorHAnsi"/>
        </w:rPr>
        <w:t>Le non-respect des exigences permanentes constitue un motif de suspension ou d’annulation du titre Arb.B.</w:t>
      </w:r>
    </w:p>
    <w:p w:rsidR="008C162F" w:rsidRPr="00FC7FBE" w:rsidRDefault="008C162F" w:rsidP="00FC7FBE">
      <w:pPr>
        <w:spacing w:after="120" w:line="240" w:lineRule="auto"/>
        <w:ind w:left="1440"/>
        <w:jc w:val="both"/>
        <w:rPr>
          <w:rFonts w:asciiTheme="minorHAnsi" w:hAnsiTheme="minorHAnsi"/>
        </w:rPr>
      </w:pPr>
    </w:p>
    <w:p w:rsidR="008C162F" w:rsidRPr="004767DB" w:rsidRDefault="008C162F" w:rsidP="008C162F">
      <w:pPr>
        <w:pStyle w:val="Titre2"/>
        <w:rPr>
          <w:rFonts w:cs="Calibri"/>
          <w:b w:val="0"/>
          <w:bCs w:val="0"/>
          <w:color w:val="548DD4"/>
          <w:sz w:val="22"/>
          <w:szCs w:val="22"/>
        </w:rPr>
      </w:pPr>
      <w:bookmarkStart w:id="14" w:name="_Toc277084532"/>
      <w:r>
        <w:rPr>
          <w:color w:val="548DD4"/>
          <w:sz w:val="22"/>
          <w:szCs w:val="22"/>
        </w:rPr>
        <w:t>V</w:t>
      </w:r>
      <w:r>
        <w:rPr>
          <w:color w:val="548DD4"/>
          <w:sz w:val="22"/>
          <w:szCs w:val="22"/>
        </w:rPr>
        <w:tab/>
        <w:t>PROTOCOLE</w:t>
      </w:r>
      <w:bookmarkEnd w:id="14"/>
    </w:p>
    <w:p w:rsidR="008F3D24" w:rsidRPr="00A21A98" w:rsidRDefault="008F3D24" w:rsidP="00571055">
      <w:pPr>
        <w:tabs>
          <w:tab w:val="left" w:pos="536"/>
        </w:tabs>
        <w:spacing w:after="120" w:line="240" w:lineRule="auto"/>
        <w:jc w:val="both"/>
        <w:rPr>
          <w:rFonts w:asciiTheme="minorHAnsi" w:hAnsiTheme="minorHAnsi"/>
        </w:rPr>
      </w:pPr>
      <w:r>
        <w:rPr>
          <w:rFonts w:asciiTheme="minorHAnsi" w:hAnsiTheme="minorHAnsi"/>
        </w:rPr>
        <w:t xml:space="preserve">Les affiliés régionaux invitent et acceptent les demandes des membres qui croient posséder les qualités exigées aux fins de l’obtention du titre d’arbitre breveté. </w:t>
      </w:r>
    </w:p>
    <w:p w:rsidR="008F3D24" w:rsidRDefault="008F3D24" w:rsidP="00571055">
      <w:pPr>
        <w:tabs>
          <w:tab w:val="left" w:pos="536"/>
        </w:tabs>
        <w:spacing w:after="120" w:line="240" w:lineRule="auto"/>
        <w:jc w:val="both"/>
        <w:rPr>
          <w:rFonts w:asciiTheme="minorHAnsi" w:hAnsiTheme="minorHAnsi"/>
        </w:rPr>
      </w:pPr>
      <w:r>
        <w:rPr>
          <w:rFonts w:asciiTheme="minorHAnsi" w:hAnsiTheme="minorHAnsi"/>
        </w:rPr>
        <w:t>Le Comité régional évalue la demande conformément au processus défini par la section régionale affiliée et aux exigences définies par l’IAMC.</w:t>
      </w:r>
    </w:p>
    <w:p w:rsidR="008C162F" w:rsidRPr="00A21A98" w:rsidRDefault="008C162F" w:rsidP="00571055">
      <w:pPr>
        <w:tabs>
          <w:tab w:val="left" w:pos="536"/>
        </w:tabs>
        <w:spacing w:after="120" w:line="240" w:lineRule="auto"/>
        <w:jc w:val="both"/>
        <w:rPr>
          <w:rFonts w:asciiTheme="minorHAnsi" w:hAnsiTheme="minorHAnsi"/>
        </w:rPr>
      </w:pPr>
    </w:p>
    <w:p w:rsidR="008C162F" w:rsidRPr="004767DB" w:rsidRDefault="008C162F" w:rsidP="008C162F">
      <w:pPr>
        <w:pStyle w:val="Titre3"/>
        <w:rPr>
          <w:rFonts w:cs="Calibri"/>
          <w:color w:val="548DD4"/>
          <w:sz w:val="22"/>
          <w:szCs w:val="22"/>
        </w:rPr>
      </w:pPr>
      <w:bookmarkStart w:id="15" w:name="_Toc277084533"/>
      <w:r>
        <w:rPr>
          <w:color w:val="548DD4"/>
          <w:sz w:val="22"/>
          <w:szCs w:val="22"/>
        </w:rPr>
        <w:t>VI</w:t>
      </w:r>
      <w:r>
        <w:rPr>
          <w:color w:val="548DD4"/>
          <w:sz w:val="22"/>
          <w:szCs w:val="22"/>
        </w:rPr>
        <w:tab/>
        <w:t>FORMULAIRE DE DEMANDE</w:t>
      </w:r>
      <w:bookmarkEnd w:id="15"/>
    </w:p>
    <w:p w:rsidR="008F3D24" w:rsidRPr="00A21A98" w:rsidRDefault="008F3D24" w:rsidP="00571055">
      <w:pPr>
        <w:spacing w:after="120" w:line="240" w:lineRule="auto"/>
        <w:jc w:val="both"/>
        <w:rPr>
          <w:rFonts w:asciiTheme="minorHAnsi" w:hAnsiTheme="minorHAnsi"/>
        </w:rPr>
      </w:pPr>
      <w:r>
        <w:rPr>
          <w:rFonts w:asciiTheme="minorHAnsi" w:hAnsiTheme="minorHAnsi"/>
        </w:rPr>
        <w:t>Tous les demandeurs doivent utiliser les formulaires de demande et d’évaluation prescrits par l’IAMC.</w:t>
      </w:r>
    </w:p>
    <w:p w:rsidR="006268BE" w:rsidRDefault="008C162F" w:rsidP="006268BE">
      <w:pPr>
        <w:pStyle w:val="Titre2"/>
        <w:rPr>
          <w:rFonts w:cs="Calibri"/>
          <w:color w:val="548DD4"/>
          <w:sz w:val="22"/>
          <w:szCs w:val="22"/>
        </w:rPr>
      </w:pPr>
      <w:bookmarkStart w:id="16" w:name="_Toc326586839"/>
      <w:bookmarkStart w:id="17" w:name="_Toc334004697"/>
      <w:r>
        <w:rPr>
          <w:color w:val="548DD4"/>
          <w:sz w:val="22"/>
          <w:szCs w:val="22"/>
        </w:rPr>
        <w:t>VII</w:t>
      </w:r>
      <w:r>
        <w:rPr>
          <w:color w:val="548DD4"/>
          <w:sz w:val="22"/>
          <w:szCs w:val="22"/>
        </w:rPr>
        <w:tab/>
        <w:t>APPROBATION DE LA DEMANDE ET PROCESSUS D’APPEL</w:t>
      </w:r>
    </w:p>
    <w:p w:rsidR="008F3D24" w:rsidRPr="00A21A98" w:rsidRDefault="008F3D24" w:rsidP="006268BE">
      <w:pPr>
        <w:pStyle w:val="Titre2"/>
        <w:numPr>
          <w:ilvl w:val="0"/>
          <w:numId w:val="19"/>
        </w:numPr>
        <w:ind w:left="1440" w:hanging="720"/>
        <w:rPr>
          <w:rFonts w:asciiTheme="minorHAnsi" w:hAnsiTheme="minorHAnsi"/>
          <w:sz w:val="22"/>
          <w:szCs w:val="22"/>
        </w:rPr>
      </w:pPr>
      <w:r>
        <w:rPr>
          <w:rFonts w:asciiTheme="minorHAnsi" w:hAnsiTheme="minorHAnsi"/>
          <w:sz w:val="22"/>
          <w:szCs w:val="22"/>
        </w:rPr>
        <w:t>Processus d’examen</w:t>
      </w:r>
      <w:bookmarkEnd w:id="16"/>
      <w:bookmarkEnd w:id="17"/>
      <w:r>
        <w:rPr>
          <w:rFonts w:asciiTheme="minorHAnsi" w:hAnsiTheme="minorHAnsi"/>
          <w:sz w:val="22"/>
          <w:szCs w:val="22"/>
        </w:rPr>
        <w:br/>
      </w:r>
    </w:p>
    <w:p w:rsidR="008F3D24" w:rsidRPr="00A21A98" w:rsidRDefault="008F3D24" w:rsidP="006268BE">
      <w:pPr>
        <w:numPr>
          <w:ilvl w:val="0"/>
          <w:numId w:val="6"/>
        </w:numPr>
        <w:tabs>
          <w:tab w:val="num" w:pos="2160"/>
        </w:tabs>
        <w:spacing w:after="120" w:line="240" w:lineRule="auto"/>
        <w:ind w:left="1800" w:hanging="360"/>
        <w:jc w:val="both"/>
        <w:rPr>
          <w:rFonts w:asciiTheme="minorHAnsi" w:hAnsiTheme="minorHAnsi"/>
        </w:rPr>
      </w:pPr>
      <w:r>
        <w:rPr>
          <w:rFonts w:asciiTheme="minorHAnsi" w:hAnsiTheme="minorHAnsi"/>
        </w:rPr>
        <w:t xml:space="preserve">Après approbation de la demande, par une décision adoptée à l’unanimité ou à la majorité, le Comité régional la transmet au gestionnaire responsable de l’agrément et des titres à l’IAMC. </w:t>
      </w:r>
    </w:p>
    <w:p w:rsidR="008F3D24" w:rsidRPr="00A21A98" w:rsidRDefault="00F039BF" w:rsidP="006268BE">
      <w:pPr>
        <w:numPr>
          <w:ilvl w:val="2"/>
          <w:numId w:val="4"/>
        </w:numPr>
        <w:tabs>
          <w:tab w:val="clear" w:pos="2160"/>
          <w:tab w:val="num" w:pos="2610"/>
        </w:tabs>
        <w:spacing w:after="120" w:line="240" w:lineRule="auto"/>
        <w:ind w:left="2250" w:hanging="360"/>
        <w:jc w:val="both"/>
        <w:rPr>
          <w:rFonts w:asciiTheme="minorHAnsi" w:hAnsiTheme="minorHAnsi"/>
        </w:rPr>
      </w:pPr>
      <w:r>
        <w:rPr>
          <w:rFonts w:asciiTheme="minorHAnsi" w:hAnsiTheme="minorHAnsi"/>
        </w:rPr>
        <w:t>L’IAMC examine la demande et les formulaires connexes afin de s’assurer que la demande est complète et que les exigen</w:t>
      </w:r>
      <w:r w:rsidR="00C07B53">
        <w:rPr>
          <w:rFonts w:asciiTheme="minorHAnsi" w:hAnsiTheme="minorHAnsi"/>
        </w:rPr>
        <w:t>ces définies par l’IAMC sont rem</w:t>
      </w:r>
      <w:r>
        <w:rPr>
          <w:rFonts w:asciiTheme="minorHAnsi" w:hAnsiTheme="minorHAnsi"/>
        </w:rPr>
        <w:t xml:space="preserve">plies. </w:t>
      </w:r>
    </w:p>
    <w:p w:rsidR="008F3D24" w:rsidRPr="00A21A98" w:rsidRDefault="008F3D24" w:rsidP="006268BE">
      <w:pPr>
        <w:numPr>
          <w:ilvl w:val="2"/>
          <w:numId w:val="4"/>
        </w:numPr>
        <w:tabs>
          <w:tab w:val="clear" w:pos="2160"/>
          <w:tab w:val="num" w:pos="2610"/>
          <w:tab w:val="num" w:pos="3240"/>
        </w:tabs>
        <w:spacing w:after="120" w:line="240" w:lineRule="auto"/>
        <w:ind w:left="2250" w:hanging="360"/>
        <w:jc w:val="both"/>
        <w:rPr>
          <w:rFonts w:asciiTheme="minorHAnsi" w:hAnsiTheme="minorHAnsi"/>
        </w:rPr>
      </w:pPr>
      <w:r>
        <w:rPr>
          <w:rFonts w:asciiTheme="minorHAnsi" w:hAnsiTheme="minorHAnsi"/>
        </w:rPr>
        <w:t>Lorsque l’IAMC considère que la demande est complète, le gestionnaire responsable de l’agrément et des titres informe le demandeur et le Comité régional que la demande a été approuvée. Le Comité régional informe la section régionale affiliée que la demande a été approuvée. L’IAMC remet au demandeur le certificat attestant qu’il est détenteur du titre d’Arb.B.</w:t>
      </w:r>
    </w:p>
    <w:p w:rsidR="008F3D24" w:rsidRPr="00A21A98" w:rsidRDefault="008F3D24" w:rsidP="006268BE">
      <w:pPr>
        <w:numPr>
          <w:ilvl w:val="2"/>
          <w:numId w:val="4"/>
        </w:numPr>
        <w:tabs>
          <w:tab w:val="clear" w:pos="2160"/>
          <w:tab w:val="num" w:pos="2610"/>
        </w:tabs>
        <w:spacing w:after="120" w:line="240" w:lineRule="auto"/>
        <w:ind w:left="2250" w:hanging="360"/>
        <w:jc w:val="both"/>
        <w:rPr>
          <w:rFonts w:asciiTheme="minorHAnsi" w:hAnsiTheme="minorHAnsi"/>
        </w:rPr>
      </w:pPr>
      <w:r>
        <w:rPr>
          <w:rFonts w:asciiTheme="minorHAnsi" w:hAnsiTheme="minorHAnsi"/>
        </w:rPr>
        <w:t>Lorsque l’IAMC considère que la demande n’est pas complète, le gestionnaire responsable de l’agrément et des titres renvoie la demande au Comité régional pour qu’elle soit complétée.</w:t>
      </w:r>
    </w:p>
    <w:p w:rsidR="008F3D24" w:rsidRPr="00A21A98" w:rsidRDefault="00FC7FBE" w:rsidP="00FC7FBE">
      <w:pPr>
        <w:pStyle w:val="Titre2"/>
        <w:numPr>
          <w:ilvl w:val="0"/>
          <w:numId w:val="19"/>
        </w:numPr>
        <w:jc w:val="both"/>
        <w:rPr>
          <w:rFonts w:asciiTheme="minorHAnsi" w:hAnsiTheme="minorHAnsi"/>
          <w:sz w:val="22"/>
          <w:szCs w:val="22"/>
        </w:rPr>
      </w:pPr>
      <w:bookmarkStart w:id="18" w:name="_Toc326586517"/>
      <w:bookmarkStart w:id="19" w:name="_Toc326586840"/>
      <w:bookmarkStart w:id="20" w:name="_Toc334004698"/>
      <w:bookmarkEnd w:id="18"/>
      <w:r>
        <w:rPr>
          <w:rFonts w:asciiTheme="minorHAnsi" w:hAnsiTheme="minorHAnsi"/>
          <w:sz w:val="22"/>
          <w:szCs w:val="22"/>
        </w:rPr>
        <w:tab/>
        <w:t>Droit d’appel</w:t>
      </w:r>
      <w:bookmarkEnd w:id="19"/>
      <w:bookmarkEnd w:id="20"/>
      <w:r>
        <w:rPr>
          <w:rFonts w:asciiTheme="minorHAnsi" w:hAnsiTheme="minorHAnsi"/>
          <w:sz w:val="22"/>
          <w:szCs w:val="22"/>
        </w:rPr>
        <w:t xml:space="preserve"> </w:t>
      </w:r>
    </w:p>
    <w:p w:rsidR="008F3D24" w:rsidRPr="00A21A98" w:rsidRDefault="008F3D24" w:rsidP="005F2754">
      <w:pPr>
        <w:numPr>
          <w:ilvl w:val="0"/>
          <w:numId w:val="15"/>
        </w:numPr>
        <w:tabs>
          <w:tab w:val="clear" w:pos="720"/>
          <w:tab w:val="num" w:pos="2880"/>
        </w:tabs>
        <w:spacing w:after="120" w:line="240" w:lineRule="auto"/>
        <w:ind w:left="1800"/>
        <w:jc w:val="both"/>
        <w:rPr>
          <w:rFonts w:asciiTheme="minorHAnsi" w:hAnsiTheme="minorHAnsi"/>
        </w:rPr>
      </w:pPr>
      <w:r>
        <w:rPr>
          <w:rFonts w:asciiTheme="minorHAnsi" w:hAnsiTheme="minorHAnsi"/>
        </w:rPr>
        <w:t>Le demandeur peut faire appel devant le Comité national d’une décision prise par le Comité régional de refuser d’accorder le titre d’Arb.B, seulement si le motif de refus se rapporte à des questions de politique ou de procédure ou en fait l’objet. Le demandeur doit remettre un avis d’appel écrit au gestionnaire responsable de l’agrément et des titres dans les trente (30) jours après réception de la décision ren</w:t>
      </w:r>
      <w:r>
        <w:rPr>
          <w:rFonts w:asciiTheme="minorHAnsi" w:hAnsiTheme="minorHAnsi"/>
        </w:rPr>
        <w:lastRenderedPageBreak/>
        <w:t>due par le Comité régional, exposant les motifs de l’appel, sans quoi la décision du Comité régional est maintenue. </w:t>
      </w:r>
    </w:p>
    <w:p w:rsidR="006268BE" w:rsidRDefault="008F3D24" w:rsidP="00EF2CA1">
      <w:pPr>
        <w:numPr>
          <w:ilvl w:val="0"/>
          <w:numId w:val="4"/>
        </w:numPr>
        <w:tabs>
          <w:tab w:val="clear" w:pos="720"/>
          <w:tab w:val="num" w:pos="1800"/>
        </w:tabs>
        <w:spacing w:after="120" w:line="240" w:lineRule="auto"/>
        <w:ind w:left="1800"/>
        <w:jc w:val="both"/>
        <w:rPr>
          <w:rFonts w:asciiTheme="minorHAnsi" w:hAnsiTheme="minorHAnsi"/>
        </w:rPr>
      </w:pPr>
      <w:r>
        <w:rPr>
          <w:rFonts w:asciiTheme="minorHAnsi" w:hAnsiTheme="minorHAnsi"/>
        </w:rPr>
        <w:t xml:space="preserve">Le Comité national examine les questions de politique ou de procédure, et dans le cas où une politique ou une procédure n’a pas été respectée, il peut donner suite à l’appel. Si une politique ou une procédure a été respectée, mais que son application est injuste dans un cas particulier, le Comité national peut émettre une recommandation au Conseil d’administration de l’IAMC. </w:t>
      </w:r>
    </w:p>
    <w:p w:rsidR="00EF2CA1" w:rsidRPr="00EF2CA1" w:rsidRDefault="00EF2CA1" w:rsidP="00EF2CA1">
      <w:pPr>
        <w:spacing w:after="120" w:line="240" w:lineRule="auto"/>
        <w:jc w:val="both"/>
        <w:rPr>
          <w:rFonts w:asciiTheme="minorHAnsi" w:hAnsiTheme="minorHAnsi"/>
        </w:rPr>
      </w:pPr>
    </w:p>
    <w:p w:rsidR="006268BE" w:rsidRDefault="006268BE" w:rsidP="00D52F62">
      <w:pPr>
        <w:spacing w:after="120" w:line="240" w:lineRule="auto"/>
        <w:jc w:val="both"/>
        <w:rPr>
          <w:rFonts w:asciiTheme="minorHAnsi" w:hAnsiTheme="minorHAnsi" w:cs="Calibri-Bold"/>
          <w:b/>
          <w:bCs/>
          <w:color w:val="548FD5"/>
        </w:rPr>
      </w:pPr>
      <w:r>
        <w:rPr>
          <w:rFonts w:asciiTheme="minorHAnsi" w:hAnsiTheme="minorHAnsi"/>
          <w:b/>
          <w:bCs/>
          <w:color w:val="548FD5"/>
        </w:rPr>
        <w:t>VIII</w:t>
      </w:r>
      <w:r>
        <w:rPr>
          <w:rFonts w:asciiTheme="minorHAnsi" w:hAnsiTheme="minorHAnsi"/>
          <w:b/>
          <w:bCs/>
          <w:color w:val="548FD5"/>
        </w:rPr>
        <w:tab/>
        <w:t>VÉRIFICATION ET CONTRÔLE QUALITÉ</w:t>
      </w:r>
    </w:p>
    <w:p w:rsidR="008F3D24" w:rsidRPr="00A21A98" w:rsidRDefault="008F3D24" w:rsidP="00D52F62">
      <w:pPr>
        <w:spacing w:after="120" w:line="240" w:lineRule="auto"/>
        <w:jc w:val="both"/>
        <w:rPr>
          <w:rFonts w:asciiTheme="minorHAnsi" w:hAnsiTheme="minorHAnsi"/>
          <w:color w:val="000000"/>
        </w:rPr>
      </w:pPr>
      <w:r>
        <w:rPr>
          <w:rFonts w:asciiTheme="minorHAnsi" w:hAnsiTheme="minorHAnsi"/>
          <w:color w:val="000000"/>
        </w:rPr>
        <w:t xml:space="preserve">Un certain pourcentage de demandes sera transmis au Comité national aux fins d’examen, après la décision rendue par le Comité régional, par le gestionnaire responsable de l’agrément et des titres. </w:t>
      </w:r>
    </w:p>
    <w:p w:rsidR="00472DFF" w:rsidRPr="00A21A98" w:rsidRDefault="008F3D24" w:rsidP="00D52F62">
      <w:pPr>
        <w:spacing w:after="120" w:line="240" w:lineRule="auto"/>
        <w:jc w:val="both"/>
        <w:rPr>
          <w:rFonts w:asciiTheme="minorHAnsi" w:hAnsiTheme="minorHAnsi"/>
          <w:color w:val="000000"/>
        </w:rPr>
      </w:pPr>
      <w:r>
        <w:rPr>
          <w:rFonts w:asciiTheme="minorHAnsi" w:hAnsiTheme="minorHAnsi"/>
          <w:color w:val="000000"/>
        </w:rPr>
        <w:t>Le Comité national examine les demandes qui lui ont été envoyées et s’assure que tous les documents sont en bonne et due forme et que le processus défini a été suivi. Les questions relevées par le Comité national seront transmises au gestionnaire responsable de l’agrément et des titres, au Conseil d’administration et au Comité régional concerné afin de s’assurer que les futures demandes soient traitées et examinées de manière appropriée. La décision prise par le Comité régional eu égard à une demande particulière est définitive, nonobstant les commentaires émis par le Comité national.</w:t>
      </w:r>
    </w:p>
    <w:p w:rsidR="008F3D24" w:rsidRPr="006268BE" w:rsidRDefault="006268BE" w:rsidP="006268BE">
      <w:pPr>
        <w:pStyle w:val="Titre1"/>
      </w:pPr>
      <w:bookmarkStart w:id="21" w:name="_Toc326586842"/>
      <w:bookmarkStart w:id="22" w:name="_Toc334004700"/>
      <w:r>
        <w:t xml:space="preserve">IX </w:t>
      </w:r>
      <w:r>
        <w:tab/>
      </w:r>
      <w:bookmarkEnd w:id="21"/>
      <w:bookmarkEnd w:id="22"/>
      <w:r>
        <w:t>DROIT DE VOTE</w:t>
      </w:r>
    </w:p>
    <w:p w:rsidR="008F3D24" w:rsidRPr="00A21A98" w:rsidRDefault="008F3D24" w:rsidP="00571055">
      <w:pPr>
        <w:spacing w:after="120" w:line="240" w:lineRule="auto"/>
        <w:jc w:val="both"/>
        <w:rPr>
          <w:rFonts w:asciiTheme="minorHAnsi" w:hAnsiTheme="minorHAnsi"/>
        </w:rPr>
      </w:pPr>
      <w:r>
        <w:rPr>
          <w:rFonts w:asciiTheme="minorHAnsi" w:hAnsiTheme="minorHAnsi"/>
        </w:rPr>
        <w:t xml:space="preserve">Tout membre d’un Comité régional ou du Conseil d’administration d’une section régionale affiliée qui a fait usage de son droit de vote eu égard à une demande à ce niveau ne peut participer au vote en tant que membre du Comité national ou du Conseil d’administration. </w:t>
      </w:r>
    </w:p>
    <w:sectPr w:rsidR="008F3D24" w:rsidRPr="00A21A98" w:rsidSect="00F00C4E">
      <w:footerReference w:type="default" r:id="rId9"/>
      <w:footerReference w:type="first" r:id="rId10"/>
      <w:pgSz w:w="12240" w:h="15840"/>
      <w:pgMar w:top="1260" w:right="1440" w:bottom="1296" w:left="1440" w:header="180" w:footer="36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63A" w:rsidRDefault="0042163A" w:rsidP="00BD20F4">
      <w:pPr>
        <w:spacing w:after="0" w:line="240" w:lineRule="auto"/>
      </w:pPr>
      <w:r>
        <w:separator/>
      </w:r>
    </w:p>
  </w:endnote>
  <w:endnote w:type="continuationSeparator" w:id="0">
    <w:p w:rsidR="0042163A" w:rsidRDefault="0042163A" w:rsidP="00BD2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Tahoma">
    <w:altName w:val="Arial"/>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3A" w:rsidRPr="00C07B53" w:rsidRDefault="0042163A" w:rsidP="00C07B53">
    <w:pPr>
      <w:pStyle w:val="Pieddepage"/>
      <w:rPr>
        <w:sz w:val="14"/>
        <w:szCs w:val="14"/>
      </w:rPr>
    </w:pPr>
    <w:r w:rsidRPr="00C07B53">
      <w:rPr>
        <w:sz w:val="14"/>
        <w:szCs w:val="14"/>
      </w:rPr>
      <w:t xml:space="preserve">  </w:t>
    </w:r>
    <w:r w:rsidRPr="00C07B53">
      <w:rPr>
        <w:b/>
        <w:bCs/>
        <w:sz w:val="14"/>
        <w:szCs w:val="14"/>
      </w:rPr>
      <w:t>Institut d’arbitrage et de médiation du Canada –</w:t>
    </w:r>
    <w:r w:rsidRPr="00C07B53">
      <w:rPr>
        <w:sz w:val="14"/>
        <w:szCs w:val="14"/>
      </w:rPr>
      <w:t xml:space="preserve"> </w:t>
    </w:r>
    <w:r w:rsidRPr="00C07B53">
      <w:rPr>
        <w:b/>
        <w:sz w:val="14"/>
        <w:szCs w:val="14"/>
      </w:rPr>
      <w:t>Principes, critères, protocole et compétences aux fins de l’obtention du titre d’Arb.B, approuvés par le Conseil d’administration</w:t>
    </w:r>
    <w:r w:rsidRPr="00C07B53">
      <w:rPr>
        <w:b/>
        <w:bCs/>
        <w:sz w:val="14"/>
        <w:szCs w:val="14"/>
      </w:rPr>
      <w:t>, 30 août 2012</w:t>
    </w:r>
    <w:r w:rsidRPr="00C07B53">
      <w:rPr>
        <w:b/>
        <w:bCs/>
        <w:sz w:val="14"/>
        <w:szCs w:val="14"/>
      </w:rPr>
      <w:tab/>
    </w:r>
    <w:r w:rsidR="00C07B53">
      <w:rPr>
        <w:b/>
        <w:bCs/>
        <w:sz w:val="14"/>
        <w:szCs w:val="14"/>
      </w:rPr>
      <w:tab/>
    </w:r>
    <w:r w:rsidRPr="00C07B53">
      <w:rPr>
        <w:sz w:val="14"/>
        <w:szCs w:val="14"/>
      </w:rPr>
      <w:t>Page </w:t>
    </w:r>
    <w:r w:rsidRPr="00C07B53">
      <w:rPr>
        <w:b/>
        <w:sz w:val="14"/>
        <w:szCs w:val="14"/>
      </w:rPr>
      <w:fldChar w:fldCharType="begin"/>
    </w:r>
    <w:r w:rsidRPr="00C07B53">
      <w:rPr>
        <w:b/>
        <w:sz w:val="14"/>
        <w:szCs w:val="14"/>
      </w:rPr>
      <w:instrText xml:space="preserve"> PAGE </w:instrText>
    </w:r>
    <w:r w:rsidRPr="00C07B53">
      <w:rPr>
        <w:b/>
        <w:sz w:val="14"/>
        <w:szCs w:val="14"/>
      </w:rPr>
      <w:fldChar w:fldCharType="separate"/>
    </w:r>
    <w:r w:rsidR="00C07B53">
      <w:rPr>
        <w:b/>
        <w:noProof/>
        <w:sz w:val="14"/>
        <w:szCs w:val="14"/>
      </w:rPr>
      <w:t>3</w:t>
    </w:r>
    <w:r w:rsidRPr="00C07B53">
      <w:rPr>
        <w:b/>
        <w:sz w:val="14"/>
        <w:szCs w:val="14"/>
      </w:rPr>
      <w:fldChar w:fldCharType="end"/>
    </w:r>
    <w:r w:rsidRPr="00C07B53">
      <w:rPr>
        <w:sz w:val="14"/>
        <w:szCs w:val="14"/>
      </w:rPr>
      <w:t xml:space="preserve"> de </w:t>
    </w:r>
    <w:r w:rsidRPr="00C07B53">
      <w:rPr>
        <w:b/>
        <w:sz w:val="14"/>
        <w:szCs w:val="14"/>
      </w:rPr>
      <w:fldChar w:fldCharType="begin"/>
    </w:r>
    <w:r w:rsidRPr="00C07B53">
      <w:rPr>
        <w:b/>
        <w:sz w:val="14"/>
        <w:szCs w:val="14"/>
      </w:rPr>
      <w:instrText xml:space="preserve"> NUMPAGES  </w:instrText>
    </w:r>
    <w:r w:rsidRPr="00C07B53">
      <w:rPr>
        <w:b/>
        <w:sz w:val="14"/>
        <w:szCs w:val="14"/>
      </w:rPr>
      <w:fldChar w:fldCharType="separate"/>
    </w:r>
    <w:r w:rsidR="00C07B53">
      <w:rPr>
        <w:b/>
        <w:noProof/>
        <w:sz w:val="14"/>
        <w:szCs w:val="14"/>
      </w:rPr>
      <w:t>5</w:t>
    </w:r>
    <w:r w:rsidRPr="00C07B53">
      <w:rPr>
        <w:b/>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63A" w:rsidRDefault="0042163A">
    <w:pPr>
      <w:pStyle w:val="Pieddepage"/>
    </w:pPr>
    <w:r>
      <w:rPr>
        <w:sz w:val="16"/>
        <w:szCs w:val="16"/>
      </w:rPr>
      <w:t xml:space="preserve">  </w:t>
    </w:r>
    <w:r>
      <w:rPr>
        <w:b/>
        <w:bCs/>
        <w:sz w:val="14"/>
        <w:szCs w:val="14"/>
      </w:rPr>
      <w:t>Institut d’arbitrage et de médiation du Canada –</w:t>
    </w:r>
    <w:r>
      <w:rPr>
        <w:sz w:val="14"/>
        <w:szCs w:val="14"/>
      </w:rPr>
      <w:t xml:space="preserve"> </w:t>
    </w:r>
    <w:r>
      <w:rPr>
        <w:b/>
        <w:sz w:val="14"/>
        <w:szCs w:val="14"/>
      </w:rPr>
      <w:t>Principes, critères, protocole et compétences aux fins de l’obtention du titre d’Arb.B, approuvés par le Conseil d’administration</w:t>
    </w:r>
    <w:r>
      <w:rPr>
        <w:b/>
        <w:bCs/>
        <w:sz w:val="14"/>
        <w:szCs w:val="14"/>
      </w:rPr>
      <w:t>, 30 août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63A" w:rsidRDefault="0042163A" w:rsidP="00BD20F4">
      <w:pPr>
        <w:spacing w:after="0" w:line="240" w:lineRule="auto"/>
      </w:pPr>
      <w:r>
        <w:separator/>
      </w:r>
    </w:p>
  </w:footnote>
  <w:footnote w:type="continuationSeparator" w:id="0">
    <w:p w:rsidR="0042163A" w:rsidRDefault="0042163A" w:rsidP="00BD20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A608E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15:restartNumberingAfterBreak="0">
    <w:nsid w:val="00000006"/>
    <w:multiLevelType w:val="multilevel"/>
    <w:tmpl w:val="00000000"/>
    <w:lvl w:ilvl="0">
      <w:start w:val="1"/>
      <w:numFmt w:val="decimal"/>
      <w:lvlText w:val="%1."/>
      <w:lvlJc w:val="left"/>
      <w:pPr>
        <w:tabs>
          <w:tab w:val="num" w:pos="720"/>
        </w:tabs>
        <w:ind w:left="720" w:hanging="360"/>
      </w:pPr>
      <w:rPr>
        <w:rFonts w:cs="Times New Roman" w:hint="default"/>
        <w:effect w:val="none"/>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0CC429A"/>
    <w:multiLevelType w:val="hybridMultilevel"/>
    <w:tmpl w:val="1D5CDB32"/>
    <w:lvl w:ilvl="0" w:tplc="1009000F">
      <w:start w:val="1"/>
      <w:numFmt w:val="decimal"/>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4" w15:restartNumberingAfterBreak="0">
    <w:nsid w:val="0A49318E"/>
    <w:multiLevelType w:val="hybridMultilevel"/>
    <w:tmpl w:val="B92A25A2"/>
    <w:lvl w:ilvl="0" w:tplc="3132C682">
      <w:start w:val="1"/>
      <w:numFmt w:val="decimal"/>
      <w:lvlText w:val="%1."/>
      <w:lvlJc w:val="left"/>
      <w:pPr>
        <w:ind w:left="2160" w:hanging="360"/>
      </w:pPr>
      <w:rPr>
        <w:rFonts w:cs="Times New Roman" w:hint="default"/>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5" w15:restartNumberingAfterBreak="0">
    <w:nsid w:val="129A5A0E"/>
    <w:multiLevelType w:val="multilevel"/>
    <w:tmpl w:val="836645D2"/>
    <w:lvl w:ilvl="0">
      <w:start w:val="1"/>
      <w:numFmt w:val="decimal"/>
      <w:lvlText w:val="%1."/>
      <w:lvlJc w:val="left"/>
      <w:pPr>
        <w:tabs>
          <w:tab w:val="num" w:pos="0"/>
        </w:tabs>
        <w:ind w:left="0" w:hanging="432"/>
      </w:pPr>
      <w:rPr>
        <w:rFonts w:cs="Times New Roman" w:hint="default"/>
        <w:effect w:val="none"/>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right"/>
      <w:pPr>
        <w:tabs>
          <w:tab w:val="num" w:pos="1440"/>
        </w:tabs>
        <w:ind w:left="1440" w:hanging="180"/>
      </w:pPr>
      <w:rPr>
        <w:rFonts w:cs="Times New Roman" w:hint="default"/>
      </w:rPr>
    </w:lvl>
    <w:lvl w:ilvl="3">
      <w:start w:val="1"/>
      <w:numFmt w:val="decimal"/>
      <w:lvlText w:val="%4."/>
      <w:lvlJc w:val="left"/>
      <w:pPr>
        <w:tabs>
          <w:tab w:val="num" w:pos="2160"/>
        </w:tabs>
        <w:ind w:left="2160" w:hanging="360"/>
      </w:pPr>
      <w:rPr>
        <w:rFonts w:cs="Times New Roman" w:hint="default"/>
      </w:rPr>
    </w:lvl>
    <w:lvl w:ilvl="4">
      <w:start w:val="1"/>
      <w:numFmt w:val="lowerLetter"/>
      <w:lvlText w:val="%5."/>
      <w:lvlJc w:val="left"/>
      <w:pPr>
        <w:tabs>
          <w:tab w:val="num" w:pos="2880"/>
        </w:tabs>
        <w:ind w:left="2880" w:hanging="360"/>
      </w:pPr>
      <w:rPr>
        <w:rFonts w:cs="Times New Roman" w:hint="default"/>
      </w:rPr>
    </w:lvl>
    <w:lvl w:ilvl="5">
      <w:start w:val="1"/>
      <w:numFmt w:val="lowerRoman"/>
      <w:lvlText w:val="%6."/>
      <w:lvlJc w:val="right"/>
      <w:pPr>
        <w:tabs>
          <w:tab w:val="num" w:pos="3600"/>
        </w:tabs>
        <w:ind w:left="3600" w:hanging="180"/>
      </w:pPr>
      <w:rPr>
        <w:rFonts w:cs="Times New Roman" w:hint="default"/>
      </w:rPr>
    </w:lvl>
    <w:lvl w:ilvl="6">
      <w:start w:val="1"/>
      <w:numFmt w:val="decimal"/>
      <w:lvlText w:val="%7."/>
      <w:lvlJc w:val="left"/>
      <w:pPr>
        <w:tabs>
          <w:tab w:val="num" w:pos="4320"/>
        </w:tabs>
        <w:ind w:left="4320" w:hanging="360"/>
      </w:pPr>
      <w:rPr>
        <w:rFonts w:cs="Times New Roman" w:hint="default"/>
      </w:rPr>
    </w:lvl>
    <w:lvl w:ilvl="7">
      <w:start w:val="1"/>
      <w:numFmt w:val="lowerLetter"/>
      <w:lvlText w:val="%8."/>
      <w:lvlJc w:val="left"/>
      <w:pPr>
        <w:tabs>
          <w:tab w:val="num" w:pos="5040"/>
        </w:tabs>
        <w:ind w:left="5040" w:hanging="360"/>
      </w:pPr>
      <w:rPr>
        <w:rFonts w:cs="Times New Roman" w:hint="default"/>
      </w:rPr>
    </w:lvl>
    <w:lvl w:ilvl="8">
      <w:start w:val="1"/>
      <w:numFmt w:val="lowerRoman"/>
      <w:lvlText w:val="%9."/>
      <w:lvlJc w:val="right"/>
      <w:pPr>
        <w:tabs>
          <w:tab w:val="num" w:pos="5760"/>
        </w:tabs>
        <w:ind w:left="5760" w:hanging="180"/>
      </w:pPr>
      <w:rPr>
        <w:rFonts w:cs="Times New Roman" w:hint="default"/>
      </w:rPr>
    </w:lvl>
  </w:abstractNum>
  <w:abstractNum w:abstractNumId="6" w15:restartNumberingAfterBreak="0">
    <w:nsid w:val="1471730F"/>
    <w:multiLevelType w:val="hybridMultilevel"/>
    <w:tmpl w:val="ABC639B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6196358"/>
    <w:multiLevelType w:val="hybridMultilevel"/>
    <w:tmpl w:val="C3CC17CE"/>
    <w:lvl w:ilvl="0" w:tplc="5C664C50">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8" w15:restartNumberingAfterBreak="0">
    <w:nsid w:val="1A612A26"/>
    <w:multiLevelType w:val="multilevel"/>
    <w:tmpl w:val="34C4AB88"/>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9" w15:restartNumberingAfterBreak="0">
    <w:nsid w:val="1AF02DEA"/>
    <w:multiLevelType w:val="multilevel"/>
    <w:tmpl w:val="9E4C6258"/>
    <w:lvl w:ilvl="0">
      <w:start w:val="1"/>
      <w:numFmt w:val="decimal"/>
      <w:lvlText w:val="%1."/>
      <w:lvlJc w:val="left"/>
      <w:pPr>
        <w:tabs>
          <w:tab w:val="num" w:pos="720"/>
        </w:tabs>
        <w:ind w:left="720" w:hanging="360"/>
      </w:pPr>
      <w:rPr>
        <w:rFonts w:cs="Times New Roman" w:hint="default"/>
        <w:effect w:val="no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15:restartNumberingAfterBreak="0">
    <w:nsid w:val="219349E1"/>
    <w:multiLevelType w:val="hybridMultilevel"/>
    <w:tmpl w:val="16EEF1F2"/>
    <w:lvl w:ilvl="0" w:tplc="0409000F">
      <w:start w:val="1"/>
      <w:numFmt w:val="decimal"/>
      <w:lvlText w:val="%1."/>
      <w:lvlJc w:val="left"/>
      <w:pPr>
        <w:tabs>
          <w:tab w:val="num" w:pos="1800"/>
        </w:tabs>
        <w:ind w:left="1800" w:hanging="360"/>
      </w:pPr>
      <w:rPr>
        <w:rFonts w:cs="Times New Roman"/>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25904774"/>
    <w:multiLevelType w:val="hybridMultilevel"/>
    <w:tmpl w:val="47AE4C32"/>
    <w:lvl w:ilvl="0" w:tplc="04090015">
      <w:start w:val="1"/>
      <w:numFmt w:val="upperLetter"/>
      <w:lvlText w:val="%1."/>
      <w:lvlJc w:val="left"/>
      <w:pPr>
        <w:ind w:left="1170" w:hanging="360"/>
      </w:p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2" w15:restartNumberingAfterBreak="0">
    <w:nsid w:val="27EE21EB"/>
    <w:multiLevelType w:val="hybridMultilevel"/>
    <w:tmpl w:val="45A6672E"/>
    <w:lvl w:ilvl="0" w:tplc="CEAC5C98">
      <w:start w:val="1"/>
      <w:numFmt w:val="decimal"/>
      <w:lvlText w:val="%1."/>
      <w:lvlJc w:val="left"/>
      <w:pPr>
        <w:ind w:left="720" w:hanging="360"/>
      </w:pPr>
      <w:rPr>
        <w:rFonts w:cs="Times New Roman" w:hint="default"/>
        <w:b w:val="0"/>
        <w:i w:val="0"/>
        <w:sz w:val="22"/>
        <w:szCs w:val="22"/>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2AE01CC9"/>
    <w:multiLevelType w:val="hybridMultilevel"/>
    <w:tmpl w:val="076030DC"/>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8F7E7C"/>
    <w:multiLevelType w:val="multilevel"/>
    <w:tmpl w:val="F57E71EA"/>
    <w:lvl w:ilvl="0">
      <w:start w:val="1"/>
      <w:numFmt w:val="upperRoman"/>
      <w:lvlText w:val="%1."/>
      <w:lvlJc w:val="left"/>
      <w:rPr>
        <w:rFonts w:cs="Times New Roman" w:hint="default"/>
      </w:rPr>
    </w:lvl>
    <w:lvl w:ilvl="1">
      <w:start w:val="1"/>
      <w:numFmt w:val="upperLetter"/>
      <w:lvlText w:val="%2."/>
      <w:lvlJc w:val="left"/>
      <w:pPr>
        <w:ind w:left="720"/>
      </w:pPr>
      <w:rPr>
        <w:rFonts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5" w15:restartNumberingAfterBreak="0">
    <w:nsid w:val="50E81D3A"/>
    <w:multiLevelType w:val="multilevel"/>
    <w:tmpl w:val="F57E71EA"/>
    <w:lvl w:ilvl="0">
      <w:start w:val="1"/>
      <w:numFmt w:val="upperRoman"/>
      <w:lvlText w:val="%1."/>
      <w:lvlJc w:val="left"/>
      <w:rPr>
        <w:rFonts w:cs="Times New Roman" w:hint="default"/>
      </w:rPr>
    </w:lvl>
    <w:lvl w:ilvl="1">
      <w:start w:val="1"/>
      <w:numFmt w:val="upperLetter"/>
      <w:lvlText w:val="%2."/>
      <w:lvlJc w:val="left"/>
      <w:pPr>
        <w:ind w:left="720"/>
      </w:pPr>
      <w:rPr>
        <w:rFonts w:hint="default"/>
      </w:rPr>
    </w:lvl>
    <w:lvl w:ilvl="2">
      <w:start w:val="1"/>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16" w15:restartNumberingAfterBreak="0">
    <w:nsid w:val="60C06CD1"/>
    <w:multiLevelType w:val="multilevel"/>
    <w:tmpl w:val="7924CAB6"/>
    <w:lvl w:ilvl="0">
      <w:start w:val="1"/>
      <w:numFmt w:val="upperRoman"/>
      <w:lvlText w:val="%1."/>
      <w:lvlJc w:val="right"/>
      <w:pPr>
        <w:ind w:left="0" w:firstLine="0"/>
      </w:pPr>
      <w:rPr>
        <w:rFonts w:hint="default"/>
      </w:rPr>
    </w:lvl>
    <w:lvl w:ilvl="1">
      <w:start w:val="1"/>
      <w:numFmt w:val="upperLetter"/>
      <w:lvlText w:val="%2."/>
      <w:lvlJc w:val="left"/>
      <w:pPr>
        <w:ind w:left="1440" w:firstLine="0"/>
      </w:pPr>
      <w:rPr>
        <w:rFonts w:cs="Times New Roman" w:hint="default"/>
      </w:rPr>
    </w:lvl>
    <w:lvl w:ilvl="2">
      <w:start w:val="1"/>
      <w:numFmt w:val="decimal"/>
      <w:lvlText w:val="%3."/>
      <w:lvlJc w:val="left"/>
      <w:pPr>
        <w:ind w:left="2160" w:firstLine="0"/>
      </w:pPr>
      <w:rPr>
        <w:rFonts w:cs="Times New Roman" w:hint="default"/>
      </w:rPr>
    </w:lvl>
    <w:lvl w:ilvl="3">
      <w:start w:val="1"/>
      <w:numFmt w:val="lowerLetter"/>
      <w:lvlText w:val="%4)"/>
      <w:lvlJc w:val="left"/>
      <w:pPr>
        <w:ind w:left="2880" w:firstLine="0"/>
      </w:pPr>
      <w:rPr>
        <w:rFonts w:cs="Times New Roman" w:hint="default"/>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7" w15:restartNumberingAfterBreak="0">
    <w:nsid w:val="69EC530E"/>
    <w:multiLevelType w:val="hybridMultilevel"/>
    <w:tmpl w:val="23C45F9C"/>
    <w:lvl w:ilvl="0" w:tplc="61FC7340">
      <w:start w:val="8"/>
      <w:numFmt w:val="upp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
  </w:num>
  <w:num w:numId="5">
    <w:abstractNumId w:val="14"/>
  </w:num>
  <w:num w:numId="6">
    <w:abstractNumId w:val="5"/>
  </w:num>
  <w:num w:numId="7">
    <w:abstractNumId w:val="1"/>
    <w:lvlOverride w:ilvl="0">
      <w:startOverride w:val="1"/>
      <w:lvl w:ilvl="0">
        <w:start w:val="1"/>
        <w:numFmt w:val="lowerRoman"/>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8">
    <w:abstractNumId w:val="16"/>
  </w:num>
  <w:num w:numId="9">
    <w:abstractNumId w:val="12"/>
  </w:num>
  <w:num w:numId="10">
    <w:abstractNumId w:val="10"/>
  </w:num>
  <w:num w:numId="11">
    <w:abstractNumId w:val="4"/>
  </w:num>
  <w:num w:numId="12">
    <w:abstractNumId w:val="7"/>
  </w:num>
  <w:num w:numId="13">
    <w:abstractNumId w:val="6"/>
  </w:num>
  <w:num w:numId="14">
    <w:abstractNumId w:val="17"/>
  </w:num>
  <w:num w:numId="15">
    <w:abstractNumId w:val="9"/>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11"/>
  </w:num>
  <w:num w:numId="2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autoHyphenation/>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486977"/>
    <w:rsid w:val="00001A28"/>
    <w:rsid w:val="000165C6"/>
    <w:rsid w:val="000247E7"/>
    <w:rsid w:val="00025784"/>
    <w:rsid w:val="0003072D"/>
    <w:rsid w:val="00035D2C"/>
    <w:rsid w:val="00040E8D"/>
    <w:rsid w:val="00044E9A"/>
    <w:rsid w:val="00045C59"/>
    <w:rsid w:val="0005003C"/>
    <w:rsid w:val="00062A8E"/>
    <w:rsid w:val="0009059A"/>
    <w:rsid w:val="000919DD"/>
    <w:rsid w:val="00093F2E"/>
    <w:rsid w:val="000B218C"/>
    <w:rsid w:val="000B38CF"/>
    <w:rsid w:val="000C5C5F"/>
    <w:rsid w:val="001006B7"/>
    <w:rsid w:val="00127094"/>
    <w:rsid w:val="00130F99"/>
    <w:rsid w:val="0013751C"/>
    <w:rsid w:val="00146894"/>
    <w:rsid w:val="00155E8D"/>
    <w:rsid w:val="00184F79"/>
    <w:rsid w:val="001B3A8D"/>
    <w:rsid w:val="001B6141"/>
    <w:rsid w:val="001C0082"/>
    <w:rsid w:val="001C0DFF"/>
    <w:rsid w:val="001C4347"/>
    <w:rsid w:val="001C7AD9"/>
    <w:rsid w:val="001E380B"/>
    <w:rsid w:val="001E53A4"/>
    <w:rsid w:val="00202D40"/>
    <w:rsid w:val="00205596"/>
    <w:rsid w:val="00217453"/>
    <w:rsid w:val="00223633"/>
    <w:rsid w:val="0022495A"/>
    <w:rsid w:val="00240B87"/>
    <w:rsid w:val="00241F98"/>
    <w:rsid w:val="00242ED9"/>
    <w:rsid w:val="00245628"/>
    <w:rsid w:val="00263561"/>
    <w:rsid w:val="00282BEF"/>
    <w:rsid w:val="00287432"/>
    <w:rsid w:val="00287FE5"/>
    <w:rsid w:val="002A3B4E"/>
    <w:rsid w:val="002A44C7"/>
    <w:rsid w:val="002A707D"/>
    <w:rsid w:val="002B41D7"/>
    <w:rsid w:val="002C5BE9"/>
    <w:rsid w:val="002D3B26"/>
    <w:rsid w:val="002E6C7B"/>
    <w:rsid w:val="002E7209"/>
    <w:rsid w:val="00300C5C"/>
    <w:rsid w:val="00314193"/>
    <w:rsid w:val="00314C48"/>
    <w:rsid w:val="00327182"/>
    <w:rsid w:val="00336E4B"/>
    <w:rsid w:val="003423EE"/>
    <w:rsid w:val="003433FA"/>
    <w:rsid w:val="00372365"/>
    <w:rsid w:val="00386F91"/>
    <w:rsid w:val="003B6FA1"/>
    <w:rsid w:val="003B7408"/>
    <w:rsid w:val="004056CF"/>
    <w:rsid w:val="00410B1B"/>
    <w:rsid w:val="0041336F"/>
    <w:rsid w:val="0041347D"/>
    <w:rsid w:val="0042163A"/>
    <w:rsid w:val="00423633"/>
    <w:rsid w:val="0045251D"/>
    <w:rsid w:val="00457E96"/>
    <w:rsid w:val="004707DF"/>
    <w:rsid w:val="00472DFF"/>
    <w:rsid w:val="0047415F"/>
    <w:rsid w:val="004833D5"/>
    <w:rsid w:val="00485832"/>
    <w:rsid w:val="00486977"/>
    <w:rsid w:val="004A3051"/>
    <w:rsid w:val="004E5338"/>
    <w:rsid w:val="004F2663"/>
    <w:rsid w:val="004F71F9"/>
    <w:rsid w:val="004F7784"/>
    <w:rsid w:val="005216A8"/>
    <w:rsid w:val="00522C51"/>
    <w:rsid w:val="00533DAE"/>
    <w:rsid w:val="005624D2"/>
    <w:rsid w:val="00571055"/>
    <w:rsid w:val="0057156C"/>
    <w:rsid w:val="005725B5"/>
    <w:rsid w:val="00581C30"/>
    <w:rsid w:val="00590F53"/>
    <w:rsid w:val="00593263"/>
    <w:rsid w:val="005B7B82"/>
    <w:rsid w:val="005E3C60"/>
    <w:rsid w:val="005F2754"/>
    <w:rsid w:val="006140FF"/>
    <w:rsid w:val="00622155"/>
    <w:rsid w:val="006268BE"/>
    <w:rsid w:val="00630571"/>
    <w:rsid w:val="00634BF3"/>
    <w:rsid w:val="0064657B"/>
    <w:rsid w:val="006467D1"/>
    <w:rsid w:val="006521DE"/>
    <w:rsid w:val="006634C4"/>
    <w:rsid w:val="0068593A"/>
    <w:rsid w:val="006D25A3"/>
    <w:rsid w:val="006F6E1C"/>
    <w:rsid w:val="00712888"/>
    <w:rsid w:val="0071363E"/>
    <w:rsid w:val="007214FA"/>
    <w:rsid w:val="007300B3"/>
    <w:rsid w:val="007335C4"/>
    <w:rsid w:val="00737C50"/>
    <w:rsid w:val="007453F6"/>
    <w:rsid w:val="00765F4E"/>
    <w:rsid w:val="00781708"/>
    <w:rsid w:val="00783CC6"/>
    <w:rsid w:val="00790A31"/>
    <w:rsid w:val="00791C2B"/>
    <w:rsid w:val="007957ED"/>
    <w:rsid w:val="007A71F5"/>
    <w:rsid w:val="007B021C"/>
    <w:rsid w:val="007B286B"/>
    <w:rsid w:val="007C0629"/>
    <w:rsid w:val="007C6B53"/>
    <w:rsid w:val="007C6B8C"/>
    <w:rsid w:val="007E24FD"/>
    <w:rsid w:val="007F434C"/>
    <w:rsid w:val="007F5BA1"/>
    <w:rsid w:val="00814724"/>
    <w:rsid w:val="00822C26"/>
    <w:rsid w:val="00837A23"/>
    <w:rsid w:val="008420D7"/>
    <w:rsid w:val="00846FFC"/>
    <w:rsid w:val="008506DE"/>
    <w:rsid w:val="00863814"/>
    <w:rsid w:val="0087689C"/>
    <w:rsid w:val="00890B49"/>
    <w:rsid w:val="008927D7"/>
    <w:rsid w:val="008A0794"/>
    <w:rsid w:val="008A528D"/>
    <w:rsid w:val="008B79E7"/>
    <w:rsid w:val="008C162F"/>
    <w:rsid w:val="008C45EE"/>
    <w:rsid w:val="008D0D41"/>
    <w:rsid w:val="008D15DC"/>
    <w:rsid w:val="008D40FD"/>
    <w:rsid w:val="008E7E01"/>
    <w:rsid w:val="008F3263"/>
    <w:rsid w:val="008F3D24"/>
    <w:rsid w:val="00903C7E"/>
    <w:rsid w:val="009122F7"/>
    <w:rsid w:val="00926721"/>
    <w:rsid w:val="00957F35"/>
    <w:rsid w:val="00972A79"/>
    <w:rsid w:val="00972D7E"/>
    <w:rsid w:val="00981C20"/>
    <w:rsid w:val="00987B23"/>
    <w:rsid w:val="00996D37"/>
    <w:rsid w:val="009C73D9"/>
    <w:rsid w:val="009E2062"/>
    <w:rsid w:val="009E6E81"/>
    <w:rsid w:val="009F7F7C"/>
    <w:rsid w:val="00A10385"/>
    <w:rsid w:val="00A140C8"/>
    <w:rsid w:val="00A21A98"/>
    <w:rsid w:val="00A25034"/>
    <w:rsid w:val="00A3496B"/>
    <w:rsid w:val="00A373D9"/>
    <w:rsid w:val="00A4527C"/>
    <w:rsid w:val="00A46552"/>
    <w:rsid w:val="00A92DF4"/>
    <w:rsid w:val="00AA1744"/>
    <w:rsid w:val="00AA702F"/>
    <w:rsid w:val="00AA7CDA"/>
    <w:rsid w:val="00AC466C"/>
    <w:rsid w:val="00AC5F62"/>
    <w:rsid w:val="00B00419"/>
    <w:rsid w:val="00B033C1"/>
    <w:rsid w:val="00B16E17"/>
    <w:rsid w:val="00B20822"/>
    <w:rsid w:val="00B210D1"/>
    <w:rsid w:val="00B33083"/>
    <w:rsid w:val="00B461B9"/>
    <w:rsid w:val="00B51917"/>
    <w:rsid w:val="00B6445E"/>
    <w:rsid w:val="00B762F7"/>
    <w:rsid w:val="00B92CF4"/>
    <w:rsid w:val="00B94E43"/>
    <w:rsid w:val="00B94E6C"/>
    <w:rsid w:val="00BC068E"/>
    <w:rsid w:val="00BD20F4"/>
    <w:rsid w:val="00BD2982"/>
    <w:rsid w:val="00BD7131"/>
    <w:rsid w:val="00BE2617"/>
    <w:rsid w:val="00C0617A"/>
    <w:rsid w:val="00C07B53"/>
    <w:rsid w:val="00C11F82"/>
    <w:rsid w:val="00C412FC"/>
    <w:rsid w:val="00C45268"/>
    <w:rsid w:val="00C51DA9"/>
    <w:rsid w:val="00C76E8B"/>
    <w:rsid w:val="00C772DF"/>
    <w:rsid w:val="00C805B1"/>
    <w:rsid w:val="00C81E8B"/>
    <w:rsid w:val="00CA038A"/>
    <w:rsid w:val="00CB1557"/>
    <w:rsid w:val="00CB3245"/>
    <w:rsid w:val="00CC4F95"/>
    <w:rsid w:val="00CE490E"/>
    <w:rsid w:val="00CE5D11"/>
    <w:rsid w:val="00D0533F"/>
    <w:rsid w:val="00D238F6"/>
    <w:rsid w:val="00D2498D"/>
    <w:rsid w:val="00D27037"/>
    <w:rsid w:val="00D2762E"/>
    <w:rsid w:val="00D362AA"/>
    <w:rsid w:val="00D363D8"/>
    <w:rsid w:val="00D36888"/>
    <w:rsid w:val="00D430C1"/>
    <w:rsid w:val="00D46AB1"/>
    <w:rsid w:val="00D52F62"/>
    <w:rsid w:val="00D55D94"/>
    <w:rsid w:val="00D652CA"/>
    <w:rsid w:val="00D70A80"/>
    <w:rsid w:val="00DC0683"/>
    <w:rsid w:val="00DD67CC"/>
    <w:rsid w:val="00DE75CC"/>
    <w:rsid w:val="00DF4821"/>
    <w:rsid w:val="00E10D8C"/>
    <w:rsid w:val="00E16E81"/>
    <w:rsid w:val="00E35507"/>
    <w:rsid w:val="00E4067A"/>
    <w:rsid w:val="00E410C5"/>
    <w:rsid w:val="00E51372"/>
    <w:rsid w:val="00E54DF7"/>
    <w:rsid w:val="00E715F1"/>
    <w:rsid w:val="00E762CD"/>
    <w:rsid w:val="00E8178C"/>
    <w:rsid w:val="00E83AF4"/>
    <w:rsid w:val="00EC68D2"/>
    <w:rsid w:val="00EE69CA"/>
    <w:rsid w:val="00EF170A"/>
    <w:rsid w:val="00EF2CA1"/>
    <w:rsid w:val="00EF40D3"/>
    <w:rsid w:val="00F00C4E"/>
    <w:rsid w:val="00F01656"/>
    <w:rsid w:val="00F02662"/>
    <w:rsid w:val="00F039BF"/>
    <w:rsid w:val="00F1167C"/>
    <w:rsid w:val="00F13B7B"/>
    <w:rsid w:val="00F37CA9"/>
    <w:rsid w:val="00F4436C"/>
    <w:rsid w:val="00F6241D"/>
    <w:rsid w:val="00F81DF8"/>
    <w:rsid w:val="00F82C14"/>
    <w:rsid w:val="00F95DBC"/>
    <w:rsid w:val="00F97304"/>
    <w:rsid w:val="00FA132D"/>
    <w:rsid w:val="00FA3E6B"/>
    <w:rsid w:val="00FB328F"/>
    <w:rsid w:val="00FB3BC4"/>
    <w:rsid w:val="00FC7A7E"/>
    <w:rsid w:val="00FC7FBE"/>
    <w:rsid w:val="00FD0A33"/>
    <w:rsid w:val="00FE47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67570190-42AD-4048-91F9-9775D5420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fr-CA" w:eastAsia="en-CA"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B53"/>
    <w:pPr>
      <w:spacing w:after="200" w:line="276" w:lineRule="auto"/>
    </w:pPr>
    <w:rPr>
      <w:sz w:val="22"/>
      <w:szCs w:val="22"/>
      <w:lang w:eastAsia="en-US"/>
    </w:rPr>
  </w:style>
  <w:style w:type="paragraph" w:styleId="Titre1">
    <w:name w:val="heading 1"/>
    <w:basedOn w:val="Normal"/>
    <w:next w:val="Normal"/>
    <w:link w:val="Titre1Car"/>
    <w:autoRedefine/>
    <w:uiPriority w:val="99"/>
    <w:qFormat/>
    <w:rsid w:val="006268BE"/>
    <w:pPr>
      <w:keepNext/>
      <w:keepLines/>
      <w:spacing w:before="480" w:after="0"/>
      <w:outlineLvl w:val="0"/>
    </w:pPr>
    <w:rPr>
      <w:rFonts w:asciiTheme="minorHAnsi" w:hAnsiTheme="minorHAnsi" w:cs="Calibri-Bold"/>
      <w:b/>
      <w:bCs/>
      <w:smallCaps/>
      <w:color w:val="548FD5"/>
      <w:lang w:eastAsia="en-CA"/>
    </w:rPr>
  </w:style>
  <w:style w:type="paragraph" w:styleId="Titre2">
    <w:name w:val="heading 2"/>
    <w:basedOn w:val="Normal"/>
    <w:next w:val="Normal"/>
    <w:link w:val="Titre2Car"/>
    <w:uiPriority w:val="99"/>
    <w:qFormat/>
    <w:rsid w:val="00486977"/>
    <w:pPr>
      <w:keepNext/>
      <w:keepLines/>
      <w:spacing w:before="200" w:after="0"/>
      <w:outlineLvl w:val="1"/>
    </w:pPr>
    <w:rPr>
      <w:b/>
      <w:bCs/>
      <w:color w:val="629DD1"/>
      <w:sz w:val="26"/>
      <w:szCs w:val="26"/>
    </w:rPr>
  </w:style>
  <w:style w:type="paragraph" w:styleId="Titre3">
    <w:name w:val="heading 3"/>
    <w:basedOn w:val="Normal"/>
    <w:next w:val="Normal"/>
    <w:link w:val="Titre3Car"/>
    <w:uiPriority w:val="99"/>
    <w:qFormat/>
    <w:rsid w:val="00B6445E"/>
    <w:pPr>
      <w:keepNext/>
      <w:keepLines/>
      <w:spacing w:before="200" w:after="0"/>
      <w:outlineLvl w:val="2"/>
    </w:pPr>
    <w:rPr>
      <w:b/>
      <w:bCs/>
      <w:color w:val="629DD1"/>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268BE"/>
    <w:rPr>
      <w:rFonts w:asciiTheme="minorHAnsi" w:hAnsiTheme="minorHAnsi" w:cs="Calibri-Bold"/>
      <w:b/>
      <w:bCs/>
      <w:smallCaps/>
      <w:color w:val="548FD5"/>
      <w:sz w:val="22"/>
      <w:szCs w:val="22"/>
      <w:lang w:val="fr-CA"/>
    </w:rPr>
  </w:style>
  <w:style w:type="character" w:customStyle="1" w:styleId="Titre2Car">
    <w:name w:val="Titre 2 Car"/>
    <w:link w:val="Titre2"/>
    <w:uiPriority w:val="99"/>
    <w:locked/>
    <w:rsid w:val="00486977"/>
    <w:rPr>
      <w:rFonts w:ascii="Calibri" w:hAnsi="Calibri" w:cs="Times New Roman"/>
      <w:b/>
      <w:color w:val="629DD1"/>
      <w:sz w:val="26"/>
    </w:rPr>
  </w:style>
  <w:style w:type="character" w:customStyle="1" w:styleId="Titre3Car">
    <w:name w:val="Titre 3 Car"/>
    <w:link w:val="Titre3"/>
    <w:uiPriority w:val="99"/>
    <w:semiHidden/>
    <w:locked/>
    <w:rsid w:val="00B6445E"/>
    <w:rPr>
      <w:rFonts w:ascii="Calibri" w:hAnsi="Calibri" w:cs="Times New Roman"/>
      <w:b/>
      <w:color w:val="629DD1"/>
    </w:rPr>
  </w:style>
  <w:style w:type="paragraph" w:styleId="Titre">
    <w:name w:val="Title"/>
    <w:basedOn w:val="Normal"/>
    <w:next w:val="Normal"/>
    <w:link w:val="TitreCar"/>
    <w:uiPriority w:val="99"/>
    <w:qFormat/>
    <w:rsid w:val="0047415F"/>
    <w:pPr>
      <w:pBdr>
        <w:bottom w:val="single" w:sz="8" w:space="4" w:color="629DD1"/>
      </w:pBdr>
      <w:spacing w:after="300" w:line="240" w:lineRule="auto"/>
      <w:contextualSpacing/>
      <w:jc w:val="center"/>
    </w:pPr>
    <w:rPr>
      <w:color w:val="1B1D3D"/>
      <w:spacing w:val="5"/>
      <w:kern w:val="28"/>
      <w:sz w:val="52"/>
      <w:szCs w:val="52"/>
    </w:rPr>
  </w:style>
  <w:style w:type="character" w:customStyle="1" w:styleId="TitreCar">
    <w:name w:val="Titre Car"/>
    <w:link w:val="Titre"/>
    <w:uiPriority w:val="99"/>
    <w:locked/>
    <w:rsid w:val="0047415F"/>
    <w:rPr>
      <w:rFonts w:ascii="Calibri" w:hAnsi="Calibri" w:cs="Times New Roman"/>
      <w:color w:val="1B1D3D"/>
      <w:spacing w:val="5"/>
      <w:kern w:val="28"/>
      <w:sz w:val="52"/>
    </w:rPr>
  </w:style>
  <w:style w:type="paragraph" w:styleId="Listepuces">
    <w:name w:val="List Bullet"/>
    <w:basedOn w:val="Normal"/>
    <w:uiPriority w:val="99"/>
    <w:rsid w:val="0047415F"/>
    <w:pPr>
      <w:numPr>
        <w:numId w:val="1"/>
      </w:numPr>
      <w:contextualSpacing/>
    </w:pPr>
  </w:style>
  <w:style w:type="character" w:styleId="Appelnotedebasdep">
    <w:name w:val="footnote reference"/>
    <w:uiPriority w:val="99"/>
    <w:semiHidden/>
    <w:rsid w:val="00C0617A"/>
    <w:rPr>
      <w:rFonts w:ascii="Calibri" w:hAnsi="Calibri" w:cs="Times New Roman"/>
      <w:sz w:val="16"/>
      <w:vertAlign w:val="superscript"/>
    </w:rPr>
  </w:style>
  <w:style w:type="paragraph" w:styleId="Commentaire">
    <w:name w:val="annotation text"/>
    <w:basedOn w:val="Normal"/>
    <w:link w:val="CommentaireCar"/>
    <w:uiPriority w:val="99"/>
    <w:rsid w:val="00287432"/>
    <w:pPr>
      <w:widowControl w:val="0"/>
      <w:tabs>
        <w:tab w:val="left" w:pos="-720"/>
      </w:tabs>
      <w:suppressAutoHyphens/>
      <w:autoSpaceDE w:val="0"/>
      <w:autoSpaceDN w:val="0"/>
      <w:adjustRightInd w:val="0"/>
      <w:spacing w:after="0" w:line="240" w:lineRule="auto"/>
    </w:pPr>
    <w:rPr>
      <w:sz w:val="20"/>
      <w:szCs w:val="20"/>
    </w:rPr>
  </w:style>
  <w:style w:type="character" w:customStyle="1" w:styleId="CommentaireCar">
    <w:name w:val="Commentaire Car"/>
    <w:link w:val="Commentaire"/>
    <w:uiPriority w:val="99"/>
    <w:locked/>
    <w:rsid w:val="00287432"/>
    <w:rPr>
      <w:rFonts w:ascii="Calibri" w:hAnsi="Calibri" w:cs="Times New Roman"/>
      <w:lang w:val="fr-CA"/>
    </w:rPr>
  </w:style>
  <w:style w:type="paragraph" w:styleId="Paragraphedeliste">
    <w:name w:val="List Paragraph"/>
    <w:basedOn w:val="Normal"/>
    <w:uiPriority w:val="99"/>
    <w:qFormat/>
    <w:rsid w:val="00486977"/>
    <w:pPr>
      <w:ind w:left="720"/>
      <w:contextualSpacing/>
    </w:pPr>
  </w:style>
  <w:style w:type="paragraph" w:styleId="En-ttedetabledesmatires">
    <w:name w:val="TOC Heading"/>
    <w:basedOn w:val="Titre1"/>
    <w:next w:val="Normal"/>
    <w:uiPriority w:val="99"/>
    <w:qFormat/>
    <w:rsid w:val="00F95DBC"/>
    <w:pPr>
      <w:outlineLvl w:val="9"/>
    </w:pPr>
    <w:rPr>
      <w:smallCaps w:val="0"/>
      <w:lang w:eastAsia="ja-JP"/>
    </w:rPr>
  </w:style>
  <w:style w:type="paragraph" w:styleId="TM1">
    <w:name w:val="toc 1"/>
    <w:basedOn w:val="Normal"/>
    <w:next w:val="Normal"/>
    <w:autoRedefine/>
    <w:uiPriority w:val="39"/>
    <w:rsid w:val="004E5338"/>
    <w:pPr>
      <w:tabs>
        <w:tab w:val="left" w:pos="709"/>
        <w:tab w:val="right" w:leader="dot" w:pos="9350"/>
      </w:tabs>
      <w:spacing w:after="100"/>
    </w:pPr>
  </w:style>
  <w:style w:type="paragraph" w:styleId="TM2">
    <w:name w:val="toc 2"/>
    <w:basedOn w:val="Normal"/>
    <w:next w:val="Normal"/>
    <w:autoRedefine/>
    <w:uiPriority w:val="39"/>
    <w:rsid w:val="000B38CF"/>
    <w:pPr>
      <w:tabs>
        <w:tab w:val="left" w:pos="709"/>
        <w:tab w:val="right" w:leader="dot" w:pos="9350"/>
      </w:tabs>
      <w:spacing w:after="100"/>
      <w:ind w:left="220"/>
    </w:pPr>
  </w:style>
  <w:style w:type="character" w:styleId="Lienhypertexte">
    <w:name w:val="Hyperlink"/>
    <w:uiPriority w:val="99"/>
    <w:rsid w:val="00F95DBC"/>
    <w:rPr>
      <w:rFonts w:cs="Times New Roman"/>
      <w:color w:val="9454C3"/>
      <w:u w:val="single"/>
    </w:rPr>
  </w:style>
  <w:style w:type="paragraph" w:styleId="Textedebulles">
    <w:name w:val="Balloon Text"/>
    <w:basedOn w:val="Normal"/>
    <w:link w:val="TextedebullesCar"/>
    <w:uiPriority w:val="99"/>
    <w:semiHidden/>
    <w:rsid w:val="00F95DBC"/>
    <w:pPr>
      <w:spacing w:after="0" w:line="240" w:lineRule="auto"/>
    </w:pPr>
    <w:rPr>
      <w:rFonts w:ascii="Tahoma" w:hAnsi="Tahoma"/>
      <w:sz w:val="16"/>
      <w:szCs w:val="16"/>
    </w:rPr>
  </w:style>
  <w:style w:type="character" w:customStyle="1" w:styleId="TextedebullesCar">
    <w:name w:val="Texte de bulles Car"/>
    <w:link w:val="Textedebulles"/>
    <w:uiPriority w:val="99"/>
    <w:semiHidden/>
    <w:locked/>
    <w:rsid w:val="00F95DBC"/>
    <w:rPr>
      <w:rFonts w:ascii="Tahoma" w:hAnsi="Tahoma" w:cs="Times New Roman"/>
      <w:sz w:val="16"/>
    </w:rPr>
  </w:style>
  <w:style w:type="paragraph" w:styleId="En-tte">
    <w:name w:val="header"/>
    <w:basedOn w:val="Normal"/>
    <w:link w:val="En-tteCar"/>
    <w:uiPriority w:val="99"/>
    <w:rsid w:val="00BD20F4"/>
    <w:pPr>
      <w:tabs>
        <w:tab w:val="center" w:pos="4680"/>
        <w:tab w:val="right" w:pos="9360"/>
      </w:tabs>
      <w:spacing w:after="0" w:line="240" w:lineRule="auto"/>
    </w:pPr>
    <w:rPr>
      <w:sz w:val="20"/>
      <w:szCs w:val="20"/>
    </w:rPr>
  </w:style>
  <w:style w:type="character" w:customStyle="1" w:styleId="En-tteCar">
    <w:name w:val="En-tête Car"/>
    <w:link w:val="En-tte"/>
    <w:uiPriority w:val="99"/>
    <w:locked/>
    <w:rsid w:val="00BD20F4"/>
    <w:rPr>
      <w:rFonts w:cs="Times New Roman"/>
    </w:rPr>
  </w:style>
  <w:style w:type="paragraph" w:styleId="Pieddepage">
    <w:name w:val="footer"/>
    <w:basedOn w:val="Normal"/>
    <w:link w:val="PieddepageCar"/>
    <w:uiPriority w:val="99"/>
    <w:rsid w:val="00BD20F4"/>
    <w:pPr>
      <w:tabs>
        <w:tab w:val="center" w:pos="4680"/>
        <w:tab w:val="right" w:pos="9360"/>
      </w:tabs>
      <w:spacing w:after="0" w:line="240" w:lineRule="auto"/>
    </w:pPr>
    <w:rPr>
      <w:sz w:val="20"/>
      <w:szCs w:val="20"/>
    </w:rPr>
  </w:style>
  <w:style w:type="character" w:customStyle="1" w:styleId="PieddepageCar">
    <w:name w:val="Pied de page Car"/>
    <w:link w:val="Pieddepage"/>
    <w:uiPriority w:val="99"/>
    <w:locked/>
    <w:rsid w:val="00BD20F4"/>
    <w:rPr>
      <w:rFonts w:cs="Times New Roman"/>
    </w:rPr>
  </w:style>
  <w:style w:type="character" w:styleId="Marquedecommentaire">
    <w:name w:val="annotation reference"/>
    <w:uiPriority w:val="99"/>
    <w:semiHidden/>
    <w:rsid w:val="007A71F5"/>
    <w:rPr>
      <w:rFonts w:cs="Times New Roman"/>
      <w:sz w:val="16"/>
      <w:szCs w:val="16"/>
    </w:rPr>
  </w:style>
  <w:style w:type="paragraph" w:styleId="Objetducommentaire">
    <w:name w:val="annotation subject"/>
    <w:basedOn w:val="Commentaire"/>
    <w:next w:val="Commentaire"/>
    <w:link w:val="ObjetducommentaireCar"/>
    <w:uiPriority w:val="99"/>
    <w:semiHidden/>
    <w:rsid w:val="007A71F5"/>
    <w:pPr>
      <w:widowControl/>
      <w:tabs>
        <w:tab w:val="clear" w:pos="-720"/>
      </w:tabs>
      <w:suppressAutoHyphens w:val="0"/>
      <w:autoSpaceDE/>
      <w:autoSpaceDN/>
      <w:adjustRightInd/>
      <w:spacing w:after="200" w:line="276" w:lineRule="auto"/>
    </w:pPr>
    <w:rPr>
      <w:b/>
      <w:bCs/>
    </w:rPr>
  </w:style>
  <w:style w:type="character" w:customStyle="1" w:styleId="ObjetducommentaireCar">
    <w:name w:val="Objet du commentaire Car"/>
    <w:link w:val="Objetducommentaire"/>
    <w:uiPriority w:val="99"/>
    <w:semiHidden/>
    <w:rsid w:val="00BE4571"/>
    <w:rPr>
      <w:rFonts w:ascii="Calibri" w:hAnsi="Calibri" w:cs="Times New Roman"/>
      <w:b/>
      <w:bCs/>
      <w:sz w:val="20"/>
      <w:szCs w:val="20"/>
      <w:lang w:val="fr-CA"/>
    </w:rPr>
  </w:style>
  <w:style w:type="paragraph" w:styleId="TM3">
    <w:name w:val="toc 3"/>
    <w:basedOn w:val="Normal"/>
    <w:next w:val="Normal"/>
    <w:autoRedefine/>
    <w:uiPriority w:val="39"/>
    <w:locked/>
    <w:rsid w:val="004E533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380995">
      <w:marLeft w:val="0"/>
      <w:marRight w:val="0"/>
      <w:marTop w:val="0"/>
      <w:marBottom w:val="0"/>
      <w:divBdr>
        <w:top w:val="none" w:sz="0" w:space="0" w:color="auto"/>
        <w:left w:val="none" w:sz="0" w:space="0" w:color="auto"/>
        <w:bottom w:val="none" w:sz="0" w:space="0" w:color="auto"/>
        <w:right w:val="none" w:sz="0" w:space="0" w:color="auto"/>
      </w:divBdr>
    </w:div>
    <w:div w:id="980380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65BF9-ACFD-45F5-A2A3-14A6F3193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1471</Words>
  <Characters>8094</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ADR INSTITUTE OF CANADA, INC</vt:lpstr>
      <vt:lpstr>I	INTRODUCTION</vt:lpstr>
      <vt:lpstr>    II	DEFINITIONS </vt:lpstr>
      <vt:lpstr>    III	GENERAL PRINCIPLES</vt:lpstr>
      <vt:lpstr>    IV	CRITERIA</vt:lpstr>
      <vt:lpstr>    EDUCATION</vt:lpstr>
      <vt:lpstr>    PLEDGE</vt:lpstr>
      <vt:lpstr>    MEMBERSHIP</vt:lpstr>
      <vt:lpstr>    FEES</vt:lpstr>
      <vt:lpstr>    ONGOING REQUIREMENTS</vt:lpstr>
      <vt:lpstr>    V	PROTOCOL</vt:lpstr>
      <vt:lpstr>        VI	APPLICATION FORM</vt:lpstr>
      <vt:lpstr>    VII	APPLICATION APPROVAL AND APPEAL PROCESS</vt:lpstr>
      <vt:lpstr>    Review Process </vt:lpstr>
      <vt:lpstr>    Right to Appeal </vt:lpstr>
      <vt:lpstr>IX 	VOTING</vt:lpstr>
    </vt:vector>
  </TitlesOfParts>
  <Company>Office 2007</Company>
  <LinksUpToDate>false</LinksUpToDate>
  <CharactersWithSpaces>9546</CharactersWithSpaces>
  <SharedDoc>false</SharedDoc>
  <HLinks>
    <vt:vector size="96" baseType="variant">
      <vt:variant>
        <vt:i4>1310775</vt:i4>
      </vt:variant>
      <vt:variant>
        <vt:i4>92</vt:i4>
      </vt:variant>
      <vt:variant>
        <vt:i4>0</vt:i4>
      </vt:variant>
      <vt:variant>
        <vt:i4>5</vt:i4>
      </vt:variant>
      <vt:variant>
        <vt:lpwstr/>
      </vt:variant>
      <vt:variant>
        <vt:lpwstr>_Toc328547831</vt:lpwstr>
      </vt:variant>
      <vt:variant>
        <vt:i4>1310775</vt:i4>
      </vt:variant>
      <vt:variant>
        <vt:i4>86</vt:i4>
      </vt:variant>
      <vt:variant>
        <vt:i4>0</vt:i4>
      </vt:variant>
      <vt:variant>
        <vt:i4>5</vt:i4>
      </vt:variant>
      <vt:variant>
        <vt:lpwstr/>
      </vt:variant>
      <vt:variant>
        <vt:lpwstr>_Toc328547830</vt:lpwstr>
      </vt:variant>
      <vt:variant>
        <vt:i4>1376311</vt:i4>
      </vt:variant>
      <vt:variant>
        <vt:i4>80</vt:i4>
      </vt:variant>
      <vt:variant>
        <vt:i4>0</vt:i4>
      </vt:variant>
      <vt:variant>
        <vt:i4>5</vt:i4>
      </vt:variant>
      <vt:variant>
        <vt:lpwstr/>
      </vt:variant>
      <vt:variant>
        <vt:lpwstr>_Toc328547829</vt:lpwstr>
      </vt:variant>
      <vt:variant>
        <vt:i4>1376311</vt:i4>
      </vt:variant>
      <vt:variant>
        <vt:i4>74</vt:i4>
      </vt:variant>
      <vt:variant>
        <vt:i4>0</vt:i4>
      </vt:variant>
      <vt:variant>
        <vt:i4>5</vt:i4>
      </vt:variant>
      <vt:variant>
        <vt:lpwstr/>
      </vt:variant>
      <vt:variant>
        <vt:lpwstr>_Toc328547828</vt:lpwstr>
      </vt:variant>
      <vt:variant>
        <vt:i4>1376311</vt:i4>
      </vt:variant>
      <vt:variant>
        <vt:i4>68</vt:i4>
      </vt:variant>
      <vt:variant>
        <vt:i4>0</vt:i4>
      </vt:variant>
      <vt:variant>
        <vt:i4>5</vt:i4>
      </vt:variant>
      <vt:variant>
        <vt:lpwstr/>
      </vt:variant>
      <vt:variant>
        <vt:lpwstr>_Toc328547827</vt:lpwstr>
      </vt:variant>
      <vt:variant>
        <vt:i4>1376311</vt:i4>
      </vt:variant>
      <vt:variant>
        <vt:i4>62</vt:i4>
      </vt:variant>
      <vt:variant>
        <vt:i4>0</vt:i4>
      </vt:variant>
      <vt:variant>
        <vt:i4>5</vt:i4>
      </vt:variant>
      <vt:variant>
        <vt:lpwstr/>
      </vt:variant>
      <vt:variant>
        <vt:lpwstr>_Toc328547826</vt:lpwstr>
      </vt:variant>
      <vt:variant>
        <vt:i4>1376311</vt:i4>
      </vt:variant>
      <vt:variant>
        <vt:i4>56</vt:i4>
      </vt:variant>
      <vt:variant>
        <vt:i4>0</vt:i4>
      </vt:variant>
      <vt:variant>
        <vt:i4>5</vt:i4>
      </vt:variant>
      <vt:variant>
        <vt:lpwstr/>
      </vt:variant>
      <vt:variant>
        <vt:lpwstr>_Toc328547825</vt:lpwstr>
      </vt:variant>
      <vt:variant>
        <vt:i4>1376311</vt:i4>
      </vt:variant>
      <vt:variant>
        <vt:i4>50</vt:i4>
      </vt:variant>
      <vt:variant>
        <vt:i4>0</vt:i4>
      </vt:variant>
      <vt:variant>
        <vt:i4>5</vt:i4>
      </vt:variant>
      <vt:variant>
        <vt:lpwstr/>
      </vt:variant>
      <vt:variant>
        <vt:lpwstr>_Toc328547824</vt:lpwstr>
      </vt:variant>
      <vt:variant>
        <vt:i4>1376311</vt:i4>
      </vt:variant>
      <vt:variant>
        <vt:i4>44</vt:i4>
      </vt:variant>
      <vt:variant>
        <vt:i4>0</vt:i4>
      </vt:variant>
      <vt:variant>
        <vt:i4>5</vt:i4>
      </vt:variant>
      <vt:variant>
        <vt:lpwstr/>
      </vt:variant>
      <vt:variant>
        <vt:lpwstr>_Toc328547823</vt:lpwstr>
      </vt:variant>
      <vt:variant>
        <vt:i4>1376311</vt:i4>
      </vt:variant>
      <vt:variant>
        <vt:i4>38</vt:i4>
      </vt:variant>
      <vt:variant>
        <vt:i4>0</vt:i4>
      </vt:variant>
      <vt:variant>
        <vt:i4>5</vt:i4>
      </vt:variant>
      <vt:variant>
        <vt:lpwstr/>
      </vt:variant>
      <vt:variant>
        <vt:lpwstr>_Toc328547822</vt:lpwstr>
      </vt:variant>
      <vt:variant>
        <vt:i4>1376311</vt:i4>
      </vt:variant>
      <vt:variant>
        <vt:i4>32</vt:i4>
      </vt:variant>
      <vt:variant>
        <vt:i4>0</vt:i4>
      </vt:variant>
      <vt:variant>
        <vt:i4>5</vt:i4>
      </vt:variant>
      <vt:variant>
        <vt:lpwstr/>
      </vt:variant>
      <vt:variant>
        <vt:lpwstr>_Toc328547821</vt:lpwstr>
      </vt:variant>
      <vt:variant>
        <vt:i4>1376311</vt:i4>
      </vt:variant>
      <vt:variant>
        <vt:i4>26</vt:i4>
      </vt:variant>
      <vt:variant>
        <vt:i4>0</vt:i4>
      </vt:variant>
      <vt:variant>
        <vt:i4>5</vt:i4>
      </vt:variant>
      <vt:variant>
        <vt:lpwstr/>
      </vt:variant>
      <vt:variant>
        <vt:lpwstr>_Toc328547820</vt:lpwstr>
      </vt:variant>
      <vt:variant>
        <vt:i4>1441847</vt:i4>
      </vt:variant>
      <vt:variant>
        <vt:i4>20</vt:i4>
      </vt:variant>
      <vt:variant>
        <vt:i4>0</vt:i4>
      </vt:variant>
      <vt:variant>
        <vt:i4>5</vt:i4>
      </vt:variant>
      <vt:variant>
        <vt:lpwstr/>
      </vt:variant>
      <vt:variant>
        <vt:lpwstr>_Toc328547819</vt:lpwstr>
      </vt:variant>
      <vt:variant>
        <vt:i4>1441847</vt:i4>
      </vt:variant>
      <vt:variant>
        <vt:i4>14</vt:i4>
      </vt:variant>
      <vt:variant>
        <vt:i4>0</vt:i4>
      </vt:variant>
      <vt:variant>
        <vt:i4>5</vt:i4>
      </vt:variant>
      <vt:variant>
        <vt:lpwstr/>
      </vt:variant>
      <vt:variant>
        <vt:lpwstr>_Toc328547818</vt:lpwstr>
      </vt:variant>
      <vt:variant>
        <vt:i4>1441847</vt:i4>
      </vt:variant>
      <vt:variant>
        <vt:i4>8</vt:i4>
      </vt:variant>
      <vt:variant>
        <vt:i4>0</vt:i4>
      </vt:variant>
      <vt:variant>
        <vt:i4>5</vt:i4>
      </vt:variant>
      <vt:variant>
        <vt:lpwstr/>
      </vt:variant>
      <vt:variant>
        <vt:lpwstr>_Toc328547817</vt:lpwstr>
      </vt:variant>
      <vt:variant>
        <vt:i4>1441847</vt:i4>
      </vt:variant>
      <vt:variant>
        <vt:i4>2</vt:i4>
      </vt:variant>
      <vt:variant>
        <vt:i4>0</vt:i4>
      </vt:variant>
      <vt:variant>
        <vt:i4>5</vt:i4>
      </vt:variant>
      <vt:variant>
        <vt:lpwstr/>
      </vt:variant>
      <vt:variant>
        <vt:lpwstr>_Toc328547816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 INSTITUTE OF CANADA, INC</dc:title>
  <dc:creator>Jim McCartney</dc:creator>
  <cp:lastModifiedBy>Élise Bouthillier</cp:lastModifiedBy>
  <cp:revision>4</cp:revision>
  <cp:lastPrinted>2016-06-30T17:50:00Z</cp:lastPrinted>
  <dcterms:created xsi:type="dcterms:W3CDTF">2017-11-24T20:54:00Z</dcterms:created>
  <dcterms:modified xsi:type="dcterms:W3CDTF">2020-08-03T15:43:00Z</dcterms:modified>
</cp:coreProperties>
</file>